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E0" w:rsidRDefault="00C214A5">
      <w:pPr>
        <w:spacing w:after="0" w:line="240" w:lineRule="auto"/>
        <w:jc w:val="center"/>
        <w:rPr>
          <w:rFonts w:ascii="Cambria" w:eastAsia="Calibri" w:hAnsi="Cambria" w:cs="Times New Roman"/>
          <w:b/>
          <w:bCs/>
          <w:color w:val="376092"/>
          <w:sz w:val="28"/>
          <w:szCs w:val="23"/>
        </w:rPr>
      </w:pPr>
      <w:r>
        <w:rPr>
          <w:noProof/>
          <w:lang w:eastAsia="en-GB"/>
        </w:rPr>
        <w:drawing>
          <wp:inline distT="0" distB="0" distL="0" distR="0" wp14:anchorId="47E4FC5F" wp14:editId="36B29FCE">
            <wp:extent cx="12763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276350" cy="1076325"/>
                    </a:xfrm>
                    <a:prstGeom prst="rect">
                      <a:avLst/>
                    </a:prstGeom>
                  </pic:spPr>
                </pic:pic>
              </a:graphicData>
            </a:graphic>
          </wp:inline>
        </w:drawing>
      </w:r>
    </w:p>
    <w:p w:rsidR="00CD40E0" w:rsidRDefault="00CD40E0">
      <w:pPr>
        <w:spacing w:after="0" w:line="240" w:lineRule="auto"/>
        <w:jc w:val="center"/>
        <w:rPr>
          <w:rFonts w:ascii="Cambria" w:eastAsia="Calibri" w:hAnsi="Cambria" w:cs="Times New Roman"/>
          <w:b/>
          <w:bCs/>
          <w:color w:val="376092"/>
          <w:sz w:val="28"/>
          <w:szCs w:val="23"/>
        </w:rPr>
      </w:pPr>
    </w:p>
    <w:p w:rsidR="00CD40E0" w:rsidRPr="00D865CA" w:rsidRDefault="00040171">
      <w:pPr>
        <w:spacing w:after="0" w:line="240" w:lineRule="auto"/>
        <w:jc w:val="center"/>
        <w:rPr>
          <w:rFonts w:ascii="Cambria" w:eastAsia="Calibri" w:hAnsi="Cambria" w:cs="Times New Roman"/>
          <w:b/>
          <w:bCs/>
          <w:color w:val="376092"/>
          <w:sz w:val="36"/>
          <w:szCs w:val="23"/>
          <w:lang w:val="fr-FR"/>
        </w:rPr>
      </w:pPr>
      <w:r w:rsidRPr="00D865CA">
        <w:rPr>
          <w:rFonts w:ascii="Cambria" w:eastAsia="Calibri" w:hAnsi="Cambria" w:cs="Times New Roman"/>
          <w:b/>
          <w:bCs/>
          <w:color w:val="376092"/>
          <w:sz w:val="36"/>
          <w:szCs w:val="23"/>
          <w:lang w:val="fr-FR"/>
        </w:rPr>
        <w:t xml:space="preserve">Lignes directrices rapportage financier </w:t>
      </w:r>
      <w:r w:rsidR="00C214A5" w:rsidRPr="00D865CA">
        <w:rPr>
          <w:rFonts w:ascii="Cambria" w:eastAsia="Calibri" w:hAnsi="Cambria" w:cs="Times New Roman"/>
          <w:b/>
          <w:bCs/>
          <w:color w:val="376092"/>
          <w:sz w:val="36"/>
          <w:szCs w:val="23"/>
          <w:lang w:val="fr-FR"/>
        </w:rPr>
        <w:t xml:space="preserve">BEST 2.0: </w:t>
      </w:r>
    </w:p>
    <w:p w:rsidR="00CD40E0" w:rsidRPr="00D865CA" w:rsidRDefault="00CD40E0">
      <w:pPr>
        <w:spacing w:after="0" w:line="240" w:lineRule="auto"/>
        <w:rPr>
          <w:b/>
          <w:bCs/>
          <w:sz w:val="23"/>
          <w:szCs w:val="23"/>
          <w:lang w:val="fr-FR"/>
        </w:rPr>
      </w:pPr>
    </w:p>
    <w:p w:rsidR="00CD40E0" w:rsidRPr="00D865CA" w:rsidRDefault="00C214A5">
      <w:pPr>
        <w:pStyle w:val="Heading1"/>
        <w:numPr>
          <w:ilvl w:val="0"/>
          <w:numId w:val="4"/>
        </w:numPr>
        <w:ind w:left="851" w:hanging="851"/>
        <w:rPr>
          <w:lang w:val="fr-FR"/>
        </w:rPr>
      </w:pPr>
      <w:r w:rsidRPr="00D865CA">
        <w:rPr>
          <w:lang w:val="fr-FR"/>
        </w:rPr>
        <w:t>Principe – remb</w:t>
      </w:r>
      <w:r w:rsidR="00D865CA" w:rsidRPr="00D865CA">
        <w:rPr>
          <w:lang w:val="fr-FR"/>
        </w:rPr>
        <w:t>o</w:t>
      </w:r>
      <w:r w:rsidRPr="00D865CA">
        <w:rPr>
          <w:lang w:val="fr-FR"/>
        </w:rPr>
        <w:t xml:space="preserve">ursement </w:t>
      </w:r>
      <w:r w:rsidR="00D865CA" w:rsidRPr="00D865CA">
        <w:rPr>
          <w:lang w:val="fr-FR"/>
        </w:rPr>
        <w:t xml:space="preserve"> des frais éligibles réellement encourus</w:t>
      </w:r>
      <w:r w:rsidRPr="00D865CA">
        <w:rPr>
          <w:lang w:val="fr-FR"/>
        </w:rPr>
        <w:t xml:space="preserve"> </w:t>
      </w:r>
    </w:p>
    <w:p w:rsidR="00CD40E0" w:rsidRPr="00D865CA" w:rsidRDefault="00D865CA">
      <w:pPr>
        <w:pStyle w:val="Default"/>
        <w:ind w:left="567"/>
        <w:jc w:val="both"/>
        <w:rPr>
          <w:rFonts w:asciiTheme="minorHAnsi" w:hAnsiTheme="minorHAnsi"/>
          <w:sz w:val="22"/>
          <w:szCs w:val="23"/>
          <w:lang w:val="fr-FR"/>
        </w:rPr>
      </w:pPr>
      <w:r w:rsidRPr="00DE3FB1">
        <w:rPr>
          <w:rFonts w:asciiTheme="minorHAnsi" w:hAnsiTheme="minorHAnsi"/>
          <w:b/>
          <w:sz w:val="22"/>
          <w:szCs w:val="23"/>
          <w:u w:val="single"/>
          <w:lang w:val="fr-FR"/>
        </w:rPr>
        <w:t>Seulement les frais éligibles réellement encourus seront remboursés</w:t>
      </w:r>
      <w:r w:rsidRPr="00D865CA">
        <w:rPr>
          <w:rFonts w:asciiTheme="minorHAnsi" w:hAnsiTheme="minorHAnsi"/>
          <w:sz w:val="22"/>
          <w:szCs w:val="23"/>
          <w:lang w:val="fr-FR"/>
        </w:rPr>
        <w:t xml:space="preserve"> dans le </w:t>
      </w:r>
      <w:r>
        <w:rPr>
          <w:rFonts w:asciiTheme="minorHAnsi" w:hAnsiTheme="minorHAnsi"/>
          <w:sz w:val="22"/>
          <w:szCs w:val="23"/>
          <w:lang w:val="fr-FR"/>
        </w:rPr>
        <w:t xml:space="preserve">cadre d’une subvention </w:t>
      </w:r>
      <w:r w:rsidR="00C214A5" w:rsidRPr="00D865CA">
        <w:rPr>
          <w:rFonts w:asciiTheme="minorHAnsi" w:hAnsiTheme="minorHAnsi"/>
          <w:sz w:val="22"/>
          <w:szCs w:val="23"/>
          <w:lang w:val="fr-FR"/>
        </w:rPr>
        <w:t>BEST 2.0.</w:t>
      </w:r>
    </w:p>
    <w:p w:rsidR="00CD40E0" w:rsidRPr="00D865CA" w:rsidRDefault="00CD40E0">
      <w:pPr>
        <w:pStyle w:val="Default"/>
        <w:ind w:left="567"/>
        <w:jc w:val="both"/>
        <w:rPr>
          <w:rFonts w:asciiTheme="minorHAnsi" w:hAnsiTheme="minorHAnsi"/>
          <w:sz w:val="22"/>
          <w:szCs w:val="23"/>
          <w:lang w:val="fr-FR"/>
        </w:rPr>
      </w:pPr>
    </w:p>
    <w:p w:rsidR="00CD40E0" w:rsidRPr="00D865CA" w:rsidRDefault="00C214A5">
      <w:pPr>
        <w:pStyle w:val="Default"/>
        <w:ind w:left="567"/>
        <w:jc w:val="both"/>
        <w:rPr>
          <w:rFonts w:asciiTheme="minorHAnsi" w:hAnsiTheme="minorHAnsi"/>
          <w:sz w:val="22"/>
          <w:szCs w:val="23"/>
          <w:lang w:val="fr-FR"/>
        </w:rPr>
      </w:pPr>
      <w:r w:rsidRPr="00D865CA">
        <w:rPr>
          <w:rFonts w:asciiTheme="minorHAnsi" w:hAnsiTheme="minorHAnsi"/>
          <w:sz w:val="22"/>
          <w:szCs w:val="23"/>
          <w:lang w:val="fr-FR"/>
        </w:rPr>
        <w:t>“</w:t>
      </w:r>
      <w:r w:rsidR="00D865CA">
        <w:rPr>
          <w:rFonts w:asciiTheme="minorHAnsi" w:hAnsiTheme="minorHAnsi"/>
          <w:sz w:val="22"/>
          <w:szCs w:val="23"/>
          <w:lang w:val="fr-FR"/>
        </w:rPr>
        <w:t>Coûts b</w:t>
      </w:r>
      <w:r w:rsidR="00D865CA" w:rsidRPr="00D865CA">
        <w:rPr>
          <w:rFonts w:asciiTheme="minorHAnsi" w:hAnsiTheme="minorHAnsi"/>
          <w:sz w:val="22"/>
          <w:szCs w:val="23"/>
          <w:lang w:val="fr-FR"/>
        </w:rPr>
        <w:t>udgét</w:t>
      </w:r>
      <w:r w:rsidR="00D865CA">
        <w:rPr>
          <w:rFonts w:asciiTheme="minorHAnsi" w:hAnsiTheme="minorHAnsi"/>
          <w:sz w:val="22"/>
          <w:szCs w:val="23"/>
          <w:lang w:val="fr-FR"/>
        </w:rPr>
        <w:t>és</w:t>
      </w:r>
      <w:r w:rsidRPr="00D865CA">
        <w:rPr>
          <w:rFonts w:asciiTheme="minorHAnsi" w:hAnsiTheme="minorHAnsi"/>
          <w:sz w:val="22"/>
          <w:szCs w:val="23"/>
          <w:lang w:val="fr-FR"/>
        </w:rPr>
        <w:t xml:space="preserve">” – i.e. </w:t>
      </w:r>
      <w:r w:rsidR="00D865CA">
        <w:rPr>
          <w:rFonts w:asciiTheme="minorHAnsi" w:hAnsiTheme="minorHAnsi"/>
          <w:sz w:val="22"/>
          <w:szCs w:val="23"/>
          <w:lang w:val="fr-FR"/>
        </w:rPr>
        <w:t xml:space="preserve">les </w:t>
      </w:r>
      <w:r w:rsidRPr="00D865CA">
        <w:rPr>
          <w:rFonts w:asciiTheme="minorHAnsi" w:hAnsiTheme="minorHAnsi"/>
          <w:sz w:val="22"/>
          <w:szCs w:val="23"/>
          <w:lang w:val="fr-FR"/>
        </w:rPr>
        <w:t>co</w:t>
      </w:r>
      <w:r w:rsidR="00D865CA">
        <w:rPr>
          <w:rFonts w:asciiTheme="minorHAnsi" w:hAnsiTheme="minorHAnsi"/>
          <w:sz w:val="22"/>
          <w:szCs w:val="23"/>
          <w:lang w:val="fr-FR"/>
        </w:rPr>
        <w:t xml:space="preserve">ûts présentés dans le budget soumis avec la proposition de projet </w:t>
      </w:r>
      <w:r w:rsidRPr="00D865CA">
        <w:rPr>
          <w:rFonts w:asciiTheme="minorHAnsi" w:hAnsiTheme="minorHAnsi"/>
          <w:sz w:val="22"/>
          <w:szCs w:val="23"/>
          <w:lang w:val="fr-FR"/>
        </w:rPr>
        <w:t xml:space="preserve"> </w:t>
      </w:r>
      <w:r w:rsidR="00D865CA">
        <w:rPr>
          <w:rFonts w:asciiTheme="minorHAnsi" w:hAnsiTheme="minorHAnsi"/>
          <w:sz w:val="22"/>
          <w:szCs w:val="23"/>
          <w:lang w:val="fr-FR"/>
        </w:rPr>
        <w:t>sont utilisés pour établir une estimation de budget pour le projet</w:t>
      </w:r>
      <w:r w:rsidRPr="00D865CA">
        <w:rPr>
          <w:rFonts w:asciiTheme="minorHAnsi" w:hAnsiTheme="minorHAnsi"/>
          <w:sz w:val="22"/>
          <w:szCs w:val="23"/>
          <w:lang w:val="fr-FR"/>
        </w:rPr>
        <w:t xml:space="preserve">. </w:t>
      </w:r>
      <w:r w:rsidR="00D865CA" w:rsidRPr="00D865CA">
        <w:rPr>
          <w:rFonts w:asciiTheme="minorHAnsi" w:hAnsiTheme="minorHAnsi"/>
          <w:sz w:val="22"/>
          <w:szCs w:val="23"/>
          <w:lang w:val="fr-FR"/>
        </w:rPr>
        <w:t>Une fois la subvention attribuée les “coûts actuels” encourus doivent être utilis</w:t>
      </w:r>
      <w:r w:rsidR="00D865CA">
        <w:rPr>
          <w:rFonts w:asciiTheme="minorHAnsi" w:hAnsiTheme="minorHAnsi"/>
          <w:sz w:val="22"/>
          <w:szCs w:val="23"/>
          <w:lang w:val="fr-FR"/>
        </w:rPr>
        <w:t>é</w:t>
      </w:r>
      <w:r w:rsidR="00D865CA" w:rsidRPr="00D865CA">
        <w:rPr>
          <w:rFonts w:asciiTheme="minorHAnsi" w:hAnsiTheme="minorHAnsi"/>
          <w:sz w:val="22"/>
          <w:szCs w:val="23"/>
          <w:lang w:val="fr-FR"/>
        </w:rPr>
        <w:t>s comme base pour remplir les rapports financier</w:t>
      </w:r>
      <w:r w:rsidR="00D865CA">
        <w:rPr>
          <w:rFonts w:asciiTheme="minorHAnsi" w:hAnsiTheme="minorHAnsi"/>
          <w:sz w:val="22"/>
          <w:szCs w:val="23"/>
          <w:lang w:val="fr-FR"/>
        </w:rPr>
        <w:t xml:space="preserve">s </w:t>
      </w:r>
      <w:r w:rsidR="00D865CA" w:rsidRPr="00D865CA">
        <w:rPr>
          <w:rFonts w:asciiTheme="minorHAnsi" w:hAnsiTheme="minorHAnsi"/>
          <w:sz w:val="22"/>
          <w:szCs w:val="23"/>
          <w:lang w:val="fr-FR"/>
        </w:rPr>
        <w:t>intermédiaires et finaux</w:t>
      </w:r>
      <w:r w:rsidRPr="00D865CA">
        <w:rPr>
          <w:rFonts w:asciiTheme="minorHAnsi" w:hAnsiTheme="minorHAnsi"/>
          <w:sz w:val="22"/>
          <w:szCs w:val="23"/>
          <w:lang w:val="fr-FR"/>
        </w:rPr>
        <w:t xml:space="preserve"> (</w:t>
      </w:r>
      <w:r w:rsidR="00D865CA">
        <w:rPr>
          <w:rFonts w:asciiTheme="minorHAnsi" w:hAnsiTheme="minorHAnsi"/>
          <w:sz w:val="22"/>
          <w:szCs w:val="23"/>
          <w:lang w:val="fr-FR"/>
        </w:rPr>
        <w:t xml:space="preserve">à l’exception des coûts indirects qui peuvent être compris à un taux maximum de </w:t>
      </w:r>
      <w:r w:rsidRPr="00D865CA">
        <w:rPr>
          <w:rFonts w:asciiTheme="minorHAnsi" w:hAnsiTheme="minorHAnsi"/>
          <w:sz w:val="22"/>
          <w:szCs w:val="23"/>
          <w:lang w:val="fr-FR"/>
        </w:rPr>
        <w:t xml:space="preserve">7% </w:t>
      </w:r>
      <w:r w:rsidR="00D865CA">
        <w:rPr>
          <w:rFonts w:asciiTheme="minorHAnsi" w:hAnsiTheme="minorHAnsi"/>
          <w:sz w:val="22"/>
          <w:szCs w:val="23"/>
          <w:lang w:val="fr-FR"/>
        </w:rPr>
        <w:t>des coûts directs éligibles</w:t>
      </w:r>
      <w:r w:rsidRPr="00D865CA">
        <w:rPr>
          <w:rFonts w:asciiTheme="minorHAnsi" w:hAnsiTheme="minorHAnsi"/>
          <w:sz w:val="22"/>
          <w:szCs w:val="23"/>
          <w:lang w:val="fr-FR"/>
        </w:rPr>
        <w:t>).</w:t>
      </w:r>
    </w:p>
    <w:p w:rsidR="00CD40E0" w:rsidRPr="00D865CA" w:rsidRDefault="00CD40E0">
      <w:pPr>
        <w:pStyle w:val="Default"/>
        <w:ind w:left="567"/>
        <w:jc w:val="both"/>
        <w:rPr>
          <w:rFonts w:asciiTheme="minorHAnsi" w:hAnsiTheme="minorHAnsi"/>
          <w:sz w:val="22"/>
          <w:szCs w:val="23"/>
          <w:lang w:val="fr-FR"/>
        </w:rPr>
      </w:pPr>
    </w:p>
    <w:p w:rsidR="00CD40E0" w:rsidRPr="00AB03F4" w:rsidRDefault="00D865CA">
      <w:pPr>
        <w:pStyle w:val="ListParagraph"/>
        <w:spacing w:after="0" w:line="240" w:lineRule="auto"/>
        <w:ind w:left="567"/>
        <w:jc w:val="both"/>
        <w:rPr>
          <w:szCs w:val="23"/>
          <w:lang w:val="fr-FR"/>
        </w:rPr>
      </w:pPr>
      <w:r w:rsidRPr="00DE3FB1">
        <w:rPr>
          <w:b/>
          <w:szCs w:val="23"/>
          <w:u w:val="single"/>
          <w:lang w:val="fr-FR"/>
        </w:rPr>
        <w:t>Les coûts encourus doivent être attestés par des documents en faisant la preuve</w:t>
      </w:r>
      <w:r w:rsidRPr="00AB03F4">
        <w:rPr>
          <w:szCs w:val="23"/>
          <w:lang w:val="fr-FR"/>
        </w:rPr>
        <w:t xml:space="preserve"> établissant qu’il s’agit bien de coûts actuels</w:t>
      </w:r>
      <w:r w:rsidR="00C214A5" w:rsidRPr="00AB03F4">
        <w:rPr>
          <w:szCs w:val="23"/>
          <w:lang w:val="fr-FR"/>
        </w:rPr>
        <w:t xml:space="preserve">. </w:t>
      </w:r>
      <w:r w:rsidRPr="00AB03F4">
        <w:rPr>
          <w:szCs w:val="23"/>
          <w:lang w:val="fr-FR"/>
        </w:rPr>
        <w:t xml:space="preserve">Des estimations de montants, ou des montants budgétés  ne sont pas acceptés et seront considérés comme inéligibles. </w:t>
      </w:r>
    </w:p>
    <w:p w:rsidR="00282891" w:rsidRPr="00AB03F4" w:rsidRDefault="00282891">
      <w:pPr>
        <w:pStyle w:val="ListParagraph"/>
        <w:spacing w:after="0" w:line="240" w:lineRule="auto"/>
        <w:ind w:left="567"/>
        <w:jc w:val="both"/>
        <w:rPr>
          <w:szCs w:val="23"/>
          <w:lang w:val="fr-FR"/>
        </w:rPr>
      </w:pPr>
    </w:p>
    <w:p w:rsidR="00282891" w:rsidRPr="00AB03F4" w:rsidRDefault="00683DDB">
      <w:pPr>
        <w:pStyle w:val="ListParagraph"/>
        <w:spacing w:after="0" w:line="240" w:lineRule="auto"/>
        <w:ind w:left="567"/>
        <w:jc w:val="both"/>
        <w:rPr>
          <w:b/>
          <w:bCs/>
          <w:szCs w:val="23"/>
          <w:lang w:val="fr-FR"/>
        </w:rPr>
      </w:pPr>
      <w:r w:rsidRPr="00AB03F4">
        <w:rPr>
          <w:szCs w:val="23"/>
          <w:lang w:val="fr-FR"/>
        </w:rPr>
        <w:t>Pour rappel, le montant maximum d’une subvention BEST est établi à l’</w:t>
      </w:r>
      <w:r w:rsidR="00282891" w:rsidRPr="00AB03F4">
        <w:rPr>
          <w:szCs w:val="23"/>
          <w:lang w:val="fr-FR"/>
        </w:rPr>
        <w:t xml:space="preserve">Art.1 </w:t>
      </w:r>
      <w:r w:rsidRPr="00AB03F4">
        <w:rPr>
          <w:szCs w:val="23"/>
          <w:lang w:val="fr-FR"/>
        </w:rPr>
        <w:t xml:space="preserve">des conditions spéciales du contrat de subvention </w:t>
      </w:r>
      <w:r w:rsidR="00282891" w:rsidRPr="00AB03F4">
        <w:rPr>
          <w:szCs w:val="23"/>
          <w:lang w:val="fr-FR"/>
        </w:rPr>
        <w:t xml:space="preserve">BEST 2.0. </w:t>
      </w:r>
      <w:r w:rsidR="00D44AA7" w:rsidRPr="00AB03F4">
        <w:rPr>
          <w:szCs w:val="23"/>
          <w:lang w:val="fr-FR"/>
        </w:rPr>
        <w:t>Tout frais encouru dépassant ce montant devra être pris en charge par le bénéficiaire</w:t>
      </w:r>
      <w:r w:rsidR="0036594B" w:rsidRPr="00AB03F4">
        <w:rPr>
          <w:szCs w:val="23"/>
          <w:lang w:val="fr-FR"/>
        </w:rPr>
        <w:t>.</w:t>
      </w:r>
    </w:p>
    <w:p w:rsidR="00CD40E0" w:rsidRPr="00AB03F4" w:rsidRDefault="001C3E5A">
      <w:pPr>
        <w:pStyle w:val="Heading1"/>
        <w:numPr>
          <w:ilvl w:val="0"/>
          <w:numId w:val="4"/>
        </w:numPr>
        <w:ind w:left="851" w:hanging="851"/>
        <w:rPr>
          <w:lang w:val="fr-FR"/>
        </w:rPr>
      </w:pPr>
      <w:r w:rsidRPr="00AB03F4">
        <w:rPr>
          <w:lang w:val="fr-FR"/>
        </w:rPr>
        <w:t>Comptabilité faisant foi et système de rapportage</w:t>
      </w:r>
    </w:p>
    <w:p w:rsidR="00CD40E0" w:rsidRPr="00AB03F4" w:rsidRDefault="00AB03F4">
      <w:pPr>
        <w:pStyle w:val="ListParagraph"/>
        <w:spacing w:after="0" w:line="240" w:lineRule="auto"/>
        <w:ind w:left="567"/>
        <w:jc w:val="both"/>
        <w:rPr>
          <w:szCs w:val="23"/>
          <w:lang w:val="fr-FR"/>
        </w:rPr>
      </w:pPr>
      <w:r w:rsidRPr="00AB03F4">
        <w:rPr>
          <w:szCs w:val="23"/>
          <w:lang w:val="fr-FR"/>
        </w:rPr>
        <w:t>Les procédures de comptabilité utilisées doivent permettre une réconciliation directe des co</w:t>
      </w:r>
      <w:r>
        <w:rPr>
          <w:szCs w:val="23"/>
          <w:lang w:val="fr-FR"/>
        </w:rPr>
        <w:t>ûts déclarés pour le projet avec les documents en faisant foi correspondant.</w:t>
      </w:r>
    </w:p>
    <w:p w:rsidR="00CD40E0" w:rsidRPr="00AB03F4" w:rsidRDefault="00CD40E0">
      <w:pPr>
        <w:pStyle w:val="ListParagraph"/>
        <w:spacing w:after="0" w:line="240" w:lineRule="auto"/>
        <w:ind w:left="567"/>
        <w:jc w:val="both"/>
        <w:rPr>
          <w:szCs w:val="23"/>
          <w:lang w:val="fr-FR"/>
        </w:rPr>
      </w:pPr>
    </w:p>
    <w:p w:rsidR="00CD40E0" w:rsidRPr="00AB03F4" w:rsidRDefault="00AB03F4">
      <w:pPr>
        <w:pStyle w:val="ListParagraph"/>
        <w:spacing w:after="0" w:line="240" w:lineRule="auto"/>
        <w:ind w:left="567"/>
        <w:jc w:val="both"/>
        <w:rPr>
          <w:lang w:val="fr-FR"/>
        </w:rPr>
      </w:pPr>
      <w:r w:rsidRPr="00AB03F4">
        <w:rPr>
          <w:szCs w:val="23"/>
          <w:lang w:val="fr-FR"/>
        </w:rPr>
        <w:t xml:space="preserve">Afin de mettre en place une comptabilité faisant foi et un système de rapportage, il est fortement recommandé d’établir des </w:t>
      </w:r>
      <w:r w:rsidR="00C214A5" w:rsidRPr="00AB03F4">
        <w:rPr>
          <w:b/>
          <w:szCs w:val="23"/>
          <w:highlight w:val="green"/>
          <w:lang w:val="fr-FR"/>
        </w:rPr>
        <w:t>codes</w:t>
      </w:r>
      <w:r w:rsidRPr="00AB03F4">
        <w:rPr>
          <w:b/>
          <w:szCs w:val="23"/>
          <w:highlight w:val="green"/>
          <w:lang w:val="fr-FR"/>
        </w:rPr>
        <w:t xml:space="preserve"> projet</w:t>
      </w:r>
      <w:r w:rsidR="00C214A5" w:rsidRPr="00AB03F4">
        <w:rPr>
          <w:szCs w:val="23"/>
          <w:lang w:val="fr-FR"/>
        </w:rPr>
        <w:t xml:space="preserve"> </w:t>
      </w:r>
      <w:r>
        <w:rPr>
          <w:szCs w:val="23"/>
          <w:lang w:val="fr-FR"/>
        </w:rPr>
        <w:t xml:space="preserve">dans le(s) système(s) de comptabilité analytique et </w:t>
      </w:r>
      <w:r w:rsidRPr="00AB03F4">
        <w:rPr>
          <w:szCs w:val="23"/>
          <w:u w:val="single"/>
          <w:lang w:val="fr-FR"/>
        </w:rPr>
        <w:t>cela est obligatoire dans le mode de rapportage du temps</w:t>
      </w:r>
      <w:r>
        <w:rPr>
          <w:szCs w:val="23"/>
          <w:lang w:val="fr-FR"/>
        </w:rPr>
        <w:t xml:space="preserve"> imparti au projet (feuille de temps par personnel impliqué dans le projet). </w:t>
      </w:r>
      <w:r w:rsidRPr="00AB03F4">
        <w:rPr>
          <w:szCs w:val="23"/>
          <w:lang w:val="fr-FR"/>
        </w:rPr>
        <w:t xml:space="preserve">Les coûts non clairement attribués </w:t>
      </w:r>
      <w:r>
        <w:rPr>
          <w:szCs w:val="23"/>
          <w:lang w:val="fr-FR"/>
        </w:rPr>
        <w:t>à un projet de manière spécifique risqueront d’être considérés comme inéligibles</w:t>
      </w:r>
      <w:r w:rsidR="00C214A5" w:rsidRPr="00AB03F4">
        <w:rPr>
          <w:szCs w:val="23"/>
          <w:lang w:val="fr-FR"/>
        </w:rPr>
        <w:t xml:space="preserve">. </w:t>
      </w:r>
    </w:p>
    <w:p w:rsidR="00CD40E0" w:rsidRPr="00AB03F4" w:rsidRDefault="00CD40E0">
      <w:pPr>
        <w:pStyle w:val="ListParagraph"/>
        <w:spacing w:after="0" w:line="240" w:lineRule="auto"/>
        <w:ind w:left="567"/>
        <w:jc w:val="both"/>
        <w:rPr>
          <w:szCs w:val="23"/>
          <w:lang w:val="fr-FR"/>
        </w:rPr>
      </w:pPr>
    </w:p>
    <w:p w:rsidR="004755CD" w:rsidRPr="00AB03F4" w:rsidRDefault="004755CD" w:rsidP="004755CD">
      <w:pPr>
        <w:pStyle w:val="ListParagraph"/>
        <w:spacing w:after="0" w:line="240" w:lineRule="auto"/>
        <w:ind w:left="567"/>
        <w:jc w:val="both"/>
        <w:rPr>
          <w:b/>
          <w:color w:val="4F81BD" w:themeColor="accent1"/>
          <w:szCs w:val="23"/>
          <w:lang w:val="fr-FR"/>
        </w:rPr>
      </w:pPr>
      <w:r w:rsidRPr="00AB03F4">
        <w:rPr>
          <w:b/>
          <w:color w:val="4F81BD" w:themeColor="accent1"/>
          <w:szCs w:val="23"/>
          <w:lang w:val="fr-FR"/>
        </w:rPr>
        <w:t>Ex</w:t>
      </w:r>
      <w:r w:rsidR="00AB03F4">
        <w:rPr>
          <w:b/>
          <w:color w:val="4F81BD" w:themeColor="accent1"/>
          <w:szCs w:val="23"/>
          <w:lang w:val="fr-FR"/>
        </w:rPr>
        <w:t>e</w:t>
      </w:r>
      <w:r w:rsidRPr="00AB03F4">
        <w:rPr>
          <w:b/>
          <w:color w:val="4F81BD" w:themeColor="accent1"/>
          <w:szCs w:val="23"/>
          <w:lang w:val="fr-FR"/>
        </w:rPr>
        <w:t>mple</w:t>
      </w:r>
      <w:r w:rsidR="00AE0109">
        <w:rPr>
          <w:b/>
          <w:color w:val="4F81BD" w:themeColor="accent1"/>
          <w:szCs w:val="23"/>
          <w:lang w:val="fr-FR"/>
        </w:rPr>
        <w:t>s</w:t>
      </w:r>
      <w:r w:rsidRPr="00AB03F4">
        <w:rPr>
          <w:b/>
          <w:color w:val="4F81BD" w:themeColor="accent1"/>
          <w:szCs w:val="23"/>
          <w:lang w:val="fr-FR"/>
        </w:rPr>
        <w:t xml:space="preserve">: </w:t>
      </w:r>
    </w:p>
    <w:p w:rsidR="004755CD" w:rsidRPr="00AB03F4" w:rsidRDefault="00AB03F4" w:rsidP="00DE3FB1">
      <w:pPr>
        <w:pStyle w:val="ListParagraph"/>
        <w:numPr>
          <w:ilvl w:val="0"/>
          <w:numId w:val="7"/>
        </w:numPr>
        <w:spacing w:before="120" w:after="120" w:line="240" w:lineRule="auto"/>
        <w:ind w:left="1281" w:hanging="357"/>
        <w:contextualSpacing w:val="0"/>
        <w:jc w:val="both"/>
        <w:rPr>
          <w:szCs w:val="23"/>
          <w:lang w:val="fr-FR"/>
        </w:rPr>
      </w:pPr>
      <w:r w:rsidRPr="00AB03F4">
        <w:rPr>
          <w:szCs w:val="23"/>
          <w:lang w:val="fr-FR"/>
        </w:rPr>
        <w:t>Toutes les factures et autres documents comptables doivent</w:t>
      </w:r>
      <w:r>
        <w:rPr>
          <w:szCs w:val="23"/>
          <w:lang w:val="fr-FR"/>
        </w:rPr>
        <w:t xml:space="preserve"> faire figurer la référence </w:t>
      </w:r>
      <w:r w:rsidR="004755CD" w:rsidRPr="00AB03F4">
        <w:rPr>
          <w:szCs w:val="23"/>
          <w:lang w:val="fr-FR"/>
        </w:rPr>
        <w:t xml:space="preserve">“BEST 2.0” </w:t>
      </w:r>
      <w:r>
        <w:rPr>
          <w:szCs w:val="23"/>
          <w:lang w:val="fr-FR"/>
        </w:rPr>
        <w:t>et comporter le numéro du contrat de subvention</w:t>
      </w:r>
      <w:r w:rsidR="004755CD" w:rsidRPr="00AB03F4">
        <w:rPr>
          <w:szCs w:val="23"/>
          <w:lang w:val="fr-FR"/>
        </w:rPr>
        <w:t>.</w:t>
      </w:r>
    </w:p>
    <w:p w:rsidR="004755CD" w:rsidRPr="00AB03F4" w:rsidRDefault="00AB03F4" w:rsidP="00DE3FB1">
      <w:pPr>
        <w:pStyle w:val="ListParagraph"/>
        <w:numPr>
          <w:ilvl w:val="0"/>
          <w:numId w:val="7"/>
        </w:numPr>
        <w:spacing w:before="120" w:after="120" w:line="240" w:lineRule="auto"/>
        <w:ind w:left="1281" w:hanging="357"/>
        <w:contextualSpacing w:val="0"/>
        <w:jc w:val="both"/>
        <w:rPr>
          <w:szCs w:val="23"/>
          <w:lang w:val="fr-FR"/>
        </w:rPr>
      </w:pPr>
      <w:r w:rsidRPr="00AB03F4">
        <w:rPr>
          <w:szCs w:val="23"/>
          <w:lang w:val="fr-FR"/>
        </w:rPr>
        <w:t>Toutes les entrés comptables doivent avoir une référence</w:t>
      </w:r>
      <w:r>
        <w:rPr>
          <w:szCs w:val="23"/>
          <w:lang w:val="fr-FR"/>
        </w:rPr>
        <w:t xml:space="preserve"> avec un code projet du contrat de subvention </w:t>
      </w:r>
      <w:r w:rsidR="004755CD" w:rsidRPr="00AB03F4">
        <w:rPr>
          <w:szCs w:val="23"/>
          <w:lang w:val="fr-FR"/>
        </w:rPr>
        <w:t>BEST 2.0.</w:t>
      </w:r>
    </w:p>
    <w:p w:rsidR="004755CD" w:rsidRPr="00AB03F4" w:rsidRDefault="004755CD">
      <w:pPr>
        <w:pStyle w:val="ListParagraph"/>
        <w:spacing w:after="0" w:line="240" w:lineRule="auto"/>
        <w:ind w:left="567"/>
        <w:jc w:val="both"/>
        <w:rPr>
          <w:szCs w:val="23"/>
          <w:lang w:val="fr-FR"/>
        </w:rPr>
      </w:pPr>
    </w:p>
    <w:p w:rsidR="00CD40E0" w:rsidRPr="00AE0109" w:rsidRDefault="00AE0109">
      <w:pPr>
        <w:pStyle w:val="ListParagraph"/>
        <w:spacing w:after="0" w:line="240" w:lineRule="auto"/>
        <w:ind w:left="567"/>
        <w:jc w:val="both"/>
        <w:rPr>
          <w:szCs w:val="23"/>
          <w:lang w:val="fr-FR"/>
        </w:rPr>
      </w:pPr>
      <w:r w:rsidRPr="00AE0109">
        <w:rPr>
          <w:szCs w:val="23"/>
          <w:lang w:val="fr-FR"/>
        </w:rPr>
        <w:t>I</w:t>
      </w:r>
      <w:r>
        <w:rPr>
          <w:szCs w:val="23"/>
          <w:lang w:val="fr-FR"/>
        </w:rPr>
        <w:t>l</w:t>
      </w:r>
      <w:r w:rsidRPr="00AE0109">
        <w:rPr>
          <w:szCs w:val="23"/>
          <w:lang w:val="fr-FR"/>
        </w:rPr>
        <w:t xml:space="preserve"> est recommandé d’utilisé le numéro du contrat de subvention </w:t>
      </w:r>
      <w:r w:rsidR="00C214A5" w:rsidRPr="00AE0109">
        <w:rPr>
          <w:szCs w:val="23"/>
          <w:lang w:val="fr-FR"/>
        </w:rPr>
        <w:t>BEST 2.0</w:t>
      </w:r>
      <w:r w:rsidRPr="00AE0109">
        <w:rPr>
          <w:szCs w:val="23"/>
          <w:lang w:val="fr-FR"/>
        </w:rPr>
        <w:t xml:space="preserve"> c</w:t>
      </w:r>
      <w:r>
        <w:rPr>
          <w:szCs w:val="23"/>
          <w:lang w:val="fr-FR"/>
        </w:rPr>
        <w:t>omme code projet  et de l’intégrer dans toutes les factures relatives au projet</w:t>
      </w:r>
      <w:r w:rsidR="00C214A5" w:rsidRPr="00AE0109">
        <w:rPr>
          <w:szCs w:val="23"/>
          <w:lang w:val="fr-FR"/>
        </w:rPr>
        <w:t xml:space="preserve">. </w:t>
      </w:r>
      <w:r w:rsidRPr="00AE0109">
        <w:rPr>
          <w:szCs w:val="23"/>
          <w:lang w:val="fr-FR"/>
        </w:rPr>
        <w:t>Il est par conséquent également hautement conseillé de demander aux sous-contractants et fournisseurs d’intégrer cette référence dans leurs propres factures</w:t>
      </w:r>
      <w:r w:rsidR="00C214A5" w:rsidRPr="00AE0109">
        <w:rPr>
          <w:szCs w:val="23"/>
          <w:lang w:val="fr-FR"/>
        </w:rPr>
        <w:t xml:space="preserve">; </w:t>
      </w:r>
      <w:r>
        <w:rPr>
          <w:szCs w:val="23"/>
          <w:lang w:val="fr-FR"/>
        </w:rPr>
        <w:t>à défaut cela devra être rajouté manuellement ou à l’aide d’un tampon sur le document papier des factures.</w:t>
      </w:r>
    </w:p>
    <w:p w:rsidR="00CD40E0" w:rsidRPr="00D865CA" w:rsidRDefault="00EF2065">
      <w:pPr>
        <w:pStyle w:val="Heading1"/>
        <w:numPr>
          <w:ilvl w:val="0"/>
          <w:numId w:val="4"/>
        </w:numPr>
        <w:ind w:left="851" w:hanging="851"/>
        <w:rPr>
          <w:lang w:val="fr-FR"/>
        </w:rPr>
      </w:pPr>
      <w:r>
        <w:rPr>
          <w:lang w:val="fr-FR"/>
        </w:rPr>
        <w:t>Système de rapportage du temps imparti au projet</w:t>
      </w:r>
    </w:p>
    <w:p w:rsidR="00CD40E0" w:rsidRPr="00290D0B" w:rsidRDefault="00216BEA">
      <w:pPr>
        <w:pStyle w:val="ListParagraph"/>
        <w:spacing w:after="0" w:line="240" w:lineRule="auto"/>
        <w:ind w:left="567"/>
        <w:jc w:val="both"/>
        <w:rPr>
          <w:szCs w:val="23"/>
          <w:lang w:val="fr-FR"/>
        </w:rPr>
      </w:pPr>
      <w:r w:rsidRPr="00290D0B">
        <w:rPr>
          <w:szCs w:val="23"/>
          <w:lang w:val="fr-FR"/>
        </w:rPr>
        <w:t xml:space="preserve">Chaque personnel travaillant pour le projet doit </w:t>
      </w:r>
      <w:r w:rsidR="00290D0B" w:rsidRPr="00290D0B">
        <w:rPr>
          <w:szCs w:val="23"/>
          <w:lang w:val="fr-FR"/>
        </w:rPr>
        <w:t xml:space="preserve">remplir des </w:t>
      </w:r>
      <w:r w:rsidR="006B3614" w:rsidRPr="00DE3FB1">
        <w:rPr>
          <w:b/>
          <w:szCs w:val="23"/>
          <w:u w:val="single"/>
          <w:lang w:val="fr-FR"/>
        </w:rPr>
        <w:t>feuille</w:t>
      </w:r>
      <w:r w:rsidR="007B5804" w:rsidRPr="00DE3FB1">
        <w:rPr>
          <w:b/>
          <w:szCs w:val="23"/>
          <w:u w:val="single"/>
          <w:lang w:val="fr-FR"/>
        </w:rPr>
        <w:t>s</w:t>
      </w:r>
      <w:r w:rsidR="00290D0B" w:rsidRPr="00DE3FB1">
        <w:rPr>
          <w:b/>
          <w:szCs w:val="23"/>
          <w:u w:val="single"/>
          <w:lang w:val="fr-FR"/>
        </w:rPr>
        <w:t xml:space="preserve"> </w:t>
      </w:r>
      <w:r w:rsidR="00D2799E" w:rsidRPr="00DE3FB1">
        <w:rPr>
          <w:b/>
          <w:szCs w:val="23"/>
          <w:u w:val="single"/>
          <w:lang w:val="fr-FR"/>
        </w:rPr>
        <w:t xml:space="preserve">de </w:t>
      </w:r>
      <w:r w:rsidR="00290D0B" w:rsidRPr="00DE3FB1">
        <w:rPr>
          <w:b/>
          <w:szCs w:val="23"/>
          <w:u w:val="single"/>
          <w:lang w:val="fr-FR"/>
        </w:rPr>
        <w:t>temps comptabilisant le temps total effectué pour l’organisation</w:t>
      </w:r>
      <w:r w:rsidR="00DE3FB1">
        <w:rPr>
          <w:szCs w:val="23"/>
          <w:lang w:val="fr-FR"/>
        </w:rPr>
        <w:t xml:space="preserve">, </w:t>
      </w:r>
      <w:r w:rsidR="00290D0B" w:rsidRPr="00290D0B">
        <w:rPr>
          <w:szCs w:val="23"/>
          <w:lang w:val="fr-FR"/>
        </w:rPr>
        <w:t>c</w:t>
      </w:r>
      <w:r w:rsidR="00290D0B">
        <w:rPr>
          <w:szCs w:val="23"/>
          <w:lang w:val="fr-FR"/>
        </w:rPr>
        <w:t>’est</w:t>
      </w:r>
      <w:r w:rsidR="00290D0B" w:rsidRPr="00290D0B">
        <w:rPr>
          <w:szCs w:val="23"/>
          <w:lang w:val="fr-FR"/>
        </w:rPr>
        <w:t>-à-di</w:t>
      </w:r>
      <w:r w:rsidR="00290D0B">
        <w:rPr>
          <w:szCs w:val="23"/>
          <w:lang w:val="fr-FR"/>
        </w:rPr>
        <w:t xml:space="preserve">re à la fois le temps dédié au projet BEST 2.0 mais aussi le temps dédié </w:t>
      </w:r>
      <w:r w:rsidR="007B5804">
        <w:rPr>
          <w:szCs w:val="23"/>
          <w:lang w:val="fr-FR"/>
        </w:rPr>
        <w:t xml:space="preserve">aux </w:t>
      </w:r>
      <w:r w:rsidR="00290D0B">
        <w:rPr>
          <w:szCs w:val="23"/>
          <w:lang w:val="fr-FR"/>
        </w:rPr>
        <w:t xml:space="preserve">autres activités ou projets </w:t>
      </w:r>
      <w:r w:rsidR="007B5804">
        <w:rPr>
          <w:szCs w:val="23"/>
          <w:lang w:val="fr-FR"/>
        </w:rPr>
        <w:t xml:space="preserve">de </w:t>
      </w:r>
      <w:r w:rsidR="00290D0B">
        <w:rPr>
          <w:szCs w:val="23"/>
          <w:lang w:val="fr-FR"/>
        </w:rPr>
        <w:t>l’organisation</w:t>
      </w:r>
      <w:r w:rsidR="007B5804">
        <w:rPr>
          <w:szCs w:val="23"/>
          <w:lang w:val="fr-FR"/>
        </w:rPr>
        <w:t xml:space="preserve"> de rattachement</w:t>
      </w:r>
      <w:r w:rsidR="00290D0B">
        <w:rPr>
          <w:szCs w:val="23"/>
          <w:lang w:val="fr-FR"/>
        </w:rPr>
        <w:t xml:space="preserve"> d’autant plus si ces autres </w:t>
      </w:r>
      <w:r w:rsidR="007B5804">
        <w:rPr>
          <w:szCs w:val="23"/>
          <w:lang w:val="fr-FR"/>
        </w:rPr>
        <w:t xml:space="preserve">activités ou </w:t>
      </w:r>
      <w:r w:rsidR="00290D0B">
        <w:rPr>
          <w:szCs w:val="23"/>
          <w:lang w:val="fr-FR"/>
        </w:rPr>
        <w:t xml:space="preserve">projets sont aussi financés par l’Union européenne. </w:t>
      </w:r>
      <w:r w:rsidR="00290D0B" w:rsidRPr="00DE3FB1">
        <w:rPr>
          <w:b/>
          <w:szCs w:val="23"/>
          <w:u w:val="single"/>
          <w:lang w:val="fr-FR"/>
        </w:rPr>
        <w:t xml:space="preserve">Il n’est donc pas suffisant de rapporter </w:t>
      </w:r>
      <w:r w:rsidR="007B5804" w:rsidRPr="00DE3FB1">
        <w:rPr>
          <w:b/>
          <w:szCs w:val="23"/>
          <w:u w:val="single"/>
          <w:lang w:val="fr-FR"/>
        </w:rPr>
        <w:t xml:space="preserve">seulement </w:t>
      </w:r>
      <w:r w:rsidR="00290D0B" w:rsidRPr="00DE3FB1">
        <w:rPr>
          <w:b/>
          <w:szCs w:val="23"/>
          <w:u w:val="single"/>
          <w:lang w:val="fr-FR"/>
        </w:rPr>
        <w:t xml:space="preserve">dans </w:t>
      </w:r>
      <w:r w:rsidR="007B5804" w:rsidRPr="00DE3FB1">
        <w:rPr>
          <w:b/>
          <w:szCs w:val="23"/>
          <w:u w:val="single"/>
          <w:lang w:val="fr-FR"/>
        </w:rPr>
        <w:t>l</w:t>
      </w:r>
      <w:r w:rsidR="00290D0B" w:rsidRPr="00DE3FB1">
        <w:rPr>
          <w:b/>
          <w:szCs w:val="23"/>
          <w:u w:val="single"/>
          <w:lang w:val="fr-FR"/>
        </w:rPr>
        <w:t xml:space="preserve">es </w:t>
      </w:r>
      <w:r w:rsidR="006B3614" w:rsidRPr="00DE3FB1">
        <w:rPr>
          <w:b/>
          <w:szCs w:val="23"/>
          <w:u w:val="single"/>
          <w:lang w:val="fr-FR"/>
        </w:rPr>
        <w:t>feuille</w:t>
      </w:r>
      <w:r w:rsidR="00290D0B" w:rsidRPr="00DE3FB1">
        <w:rPr>
          <w:b/>
          <w:szCs w:val="23"/>
          <w:u w:val="single"/>
          <w:lang w:val="fr-FR"/>
        </w:rPr>
        <w:t xml:space="preserve">s </w:t>
      </w:r>
      <w:r w:rsidR="00D2799E" w:rsidRPr="00DE3FB1">
        <w:rPr>
          <w:b/>
          <w:szCs w:val="23"/>
          <w:u w:val="single"/>
          <w:lang w:val="fr-FR"/>
        </w:rPr>
        <w:t xml:space="preserve">de </w:t>
      </w:r>
      <w:r w:rsidR="00290D0B" w:rsidRPr="00DE3FB1">
        <w:rPr>
          <w:b/>
          <w:szCs w:val="23"/>
          <w:u w:val="single"/>
          <w:lang w:val="fr-FR"/>
        </w:rPr>
        <w:t>temps le temps imparti pour le projet BEST 2.0</w:t>
      </w:r>
      <w:r w:rsidR="00290D0B" w:rsidRPr="00290D0B">
        <w:rPr>
          <w:szCs w:val="23"/>
          <w:lang w:val="fr-FR"/>
        </w:rPr>
        <w:t>.</w:t>
      </w:r>
    </w:p>
    <w:p w:rsidR="00CD40E0" w:rsidRPr="00290D0B" w:rsidRDefault="00CD40E0">
      <w:pPr>
        <w:pStyle w:val="ListParagraph"/>
        <w:spacing w:after="0" w:line="240" w:lineRule="auto"/>
        <w:ind w:left="567"/>
        <w:jc w:val="both"/>
        <w:rPr>
          <w:szCs w:val="23"/>
          <w:lang w:val="fr-FR"/>
        </w:rPr>
      </w:pPr>
    </w:p>
    <w:p w:rsidR="00CD40E0" w:rsidRPr="007B5804" w:rsidRDefault="007B5804">
      <w:pPr>
        <w:pStyle w:val="ListParagraph"/>
        <w:spacing w:after="0" w:line="240" w:lineRule="auto"/>
        <w:ind w:left="567"/>
        <w:jc w:val="both"/>
        <w:rPr>
          <w:szCs w:val="23"/>
          <w:lang w:val="fr-FR"/>
        </w:rPr>
      </w:pPr>
      <w:r w:rsidRPr="007B5804">
        <w:rPr>
          <w:szCs w:val="23"/>
          <w:lang w:val="fr-FR"/>
        </w:rPr>
        <w:t>Si l’organisation de rattachement n’a pas de système de rapportage du temps effectué par les employés</w:t>
      </w:r>
      <w:r>
        <w:rPr>
          <w:szCs w:val="23"/>
          <w:lang w:val="fr-FR"/>
        </w:rPr>
        <w:t xml:space="preserve"> au moment de la signature du contrat de subvention, il doit y avoir comme procédure minimale :</w:t>
      </w:r>
    </w:p>
    <w:p w:rsidR="00CD40E0" w:rsidRPr="007B5804" w:rsidRDefault="007B5804">
      <w:pPr>
        <w:pStyle w:val="ListParagraph"/>
        <w:numPr>
          <w:ilvl w:val="0"/>
          <w:numId w:val="2"/>
        </w:numPr>
        <w:spacing w:before="120" w:after="120" w:line="240" w:lineRule="auto"/>
        <w:ind w:left="1417" w:hanging="425"/>
        <w:contextualSpacing w:val="0"/>
        <w:jc w:val="both"/>
        <w:rPr>
          <w:szCs w:val="23"/>
          <w:lang w:val="fr-FR"/>
        </w:rPr>
      </w:pPr>
      <w:r w:rsidRPr="007B5804">
        <w:rPr>
          <w:szCs w:val="23"/>
          <w:lang w:val="fr-FR"/>
        </w:rPr>
        <w:t xml:space="preserve">La mise en place d’un système d’enregistrement </w:t>
      </w:r>
      <w:r w:rsidR="008E11EE">
        <w:rPr>
          <w:szCs w:val="23"/>
          <w:lang w:val="fr-FR"/>
        </w:rPr>
        <w:t xml:space="preserve">de temps </w:t>
      </w:r>
      <w:r w:rsidRPr="007B5804">
        <w:rPr>
          <w:szCs w:val="23"/>
          <w:lang w:val="fr-FR"/>
        </w:rPr>
        <w:t xml:space="preserve">et de soumission </w:t>
      </w:r>
      <w:r w:rsidR="008E11EE">
        <w:rPr>
          <w:szCs w:val="23"/>
          <w:lang w:val="fr-FR"/>
        </w:rPr>
        <w:t xml:space="preserve">des feuilles de temps </w:t>
      </w:r>
      <w:r>
        <w:rPr>
          <w:szCs w:val="23"/>
          <w:lang w:val="fr-FR"/>
        </w:rPr>
        <w:t>pour le personnel du projet ;</w:t>
      </w:r>
      <w:r w:rsidR="00C214A5" w:rsidRPr="007B5804">
        <w:rPr>
          <w:szCs w:val="23"/>
          <w:lang w:val="fr-FR"/>
        </w:rPr>
        <w:t xml:space="preserve"> </w:t>
      </w:r>
    </w:p>
    <w:p w:rsidR="00CD40E0" w:rsidRPr="007B5804" w:rsidRDefault="007B5804">
      <w:pPr>
        <w:pStyle w:val="ListParagraph"/>
        <w:numPr>
          <w:ilvl w:val="0"/>
          <w:numId w:val="2"/>
        </w:numPr>
        <w:spacing w:before="120" w:after="120" w:line="240" w:lineRule="auto"/>
        <w:ind w:left="1417" w:hanging="425"/>
        <w:contextualSpacing w:val="0"/>
        <w:jc w:val="both"/>
        <w:rPr>
          <w:szCs w:val="23"/>
          <w:lang w:val="fr-FR"/>
        </w:rPr>
      </w:pPr>
      <w:r w:rsidRPr="007B5804">
        <w:rPr>
          <w:szCs w:val="23"/>
          <w:lang w:val="fr-FR"/>
        </w:rPr>
        <w:t>La mise en œuvre d’une procédure de vérification et de validation par les superviseurs</w:t>
      </w:r>
      <w:r>
        <w:rPr>
          <w:szCs w:val="23"/>
          <w:lang w:val="fr-FR"/>
        </w:rPr>
        <w:t xml:space="preserve"> certifiant l’exactitude des </w:t>
      </w:r>
      <w:r w:rsidR="006B3614">
        <w:rPr>
          <w:szCs w:val="23"/>
          <w:lang w:val="fr-FR"/>
        </w:rPr>
        <w:t>feuille</w:t>
      </w:r>
      <w:r>
        <w:rPr>
          <w:szCs w:val="23"/>
          <w:lang w:val="fr-FR"/>
        </w:rPr>
        <w:t>s temps</w:t>
      </w:r>
      <w:r w:rsidR="00C214A5" w:rsidRPr="007B5804">
        <w:rPr>
          <w:szCs w:val="23"/>
          <w:lang w:val="fr-FR"/>
        </w:rPr>
        <w:t>.</w:t>
      </w:r>
    </w:p>
    <w:p w:rsidR="007B5804" w:rsidRDefault="007B5804">
      <w:pPr>
        <w:pStyle w:val="ListParagraph"/>
        <w:spacing w:after="0" w:line="240" w:lineRule="auto"/>
        <w:ind w:left="567"/>
        <w:jc w:val="both"/>
        <w:rPr>
          <w:szCs w:val="23"/>
          <w:lang w:val="fr-FR"/>
        </w:rPr>
      </w:pPr>
    </w:p>
    <w:p w:rsidR="00CD40E0" w:rsidRPr="00C42BB0" w:rsidRDefault="00C42BB0">
      <w:pPr>
        <w:pStyle w:val="ListParagraph"/>
        <w:spacing w:after="0" w:line="240" w:lineRule="auto"/>
        <w:ind w:left="567"/>
        <w:jc w:val="both"/>
        <w:rPr>
          <w:szCs w:val="23"/>
          <w:lang w:val="fr-FR"/>
        </w:rPr>
      </w:pPr>
      <w:r w:rsidRPr="00C42BB0">
        <w:rPr>
          <w:szCs w:val="23"/>
          <w:lang w:val="fr-FR"/>
        </w:rPr>
        <w:t>Utiliser des f</w:t>
      </w:r>
      <w:r w:rsidR="006B3614">
        <w:rPr>
          <w:szCs w:val="23"/>
          <w:lang w:val="fr-FR"/>
        </w:rPr>
        <w:t>euille</w:t>
      </w:r>
      <w:r w:rsidRPr="00C42BB0">
        <w:rPr>
          <w:szCs w:val="23"/>
          <w:lang w:val="fr-FR"/>
        </w:rPr>
        <w:t xml:space="preserve">s </w:t>
      </w:r>
      <w:r w:rsidR="00D2799E">
        <w:rPr>
          <w:szCs w:val="23"/>
          <w:lang w:val="fr-FR"/>
        </w:rPr>
        <w:t xml:space="preserve">de </w:t>
      </w:r>
      <w:r w:rsidRPr="00C42BB0">
        <w:rPr>
          <w:szCs w:val="23"/>
          <w:lang w:val="fr-FR"/>
        </w:rPr>
        <w:t>temps ou un système de rapportage inappropriés peut met</w:t>
      </w:r>
      <w:r>
        <w:rPr>
          <w:szCs w:val="23"/>
          <w:lang w:val="fr-FR"/>
        </w:rPr>
        <w:t>t</w:t>
      </w:r>
      <w:r w:rsidRPr="00C42BB0">
        <w:rPr>
          <w:szCs w:val="23"/>
          <w:lang w:val="fr-FR"/>
        </w:rPr>
        <w:t>re en cause l’éligibilit</w:t>
      </w:r>
      <w:r>
        <w:rPr>
          <w:szCs w:val="23"/>
          <w:lang w:val="fr-FR"/>
        </w:rPr>
        <w:t>é des coûts de personnel tels que rapportés et ainsi réduire le montant de la subvention reçue.</w:t>
      </w:r>
    </w:p>
    <w:p w:rsidR="00CD40E0" w:rsidRPr="00C42BB0" w:rsidRDefault="00CD40E0">
      <w:pPr>
        <w:pStyle w:val="ListParagraph"/>
        <w:spacing w:after="0" w:line="240" w:lineRule="auto"/>
        <w:ind w:left="567"/>
        <w:jc w:val="both"/>
        <w:rPr>
          <w:szCs w:val="23"/>
          <w:lang w:val="fr-FR"/>
        </w:rPr>
      </w:pPr>
    </w:p>
    <w:p w:rsidR="00507422" w:rsidRPr="00C42BB0" w:rsidRDefault="00C42BB0">
      <w:pPr>
        <w:pStyle w:val="ListParagraph"/>
        <w:spacing w:after="0" w:line="240" w:lineRule="auto"/>
        <w:ind w:left="567"/>
        <w:jc w:val="both"/>
        <w:rPr>
          <w:szCs w:val="23"/>
          <w:lang w:val="fr-FR"/>
        </w:rPr>
      </w:pPr>
      <w:r w:rsidRPr="00C42BB0">
        <w:rPr>
          <w:szCs w:val="23"/>
          <w:lang w:val="fr-FR"/>
        </w:rPr>
        <w:t>Les systèmes de rapportage standardis</w:t>
      </w:r>
      <w:r>
        <w:rPr>
          <w:szCs w:val="23"/>
          <w:lang w:val="fr-FR"/>
        </w:rPr>
        <w:t>é</w:t>
      </w:r>
      <w:r w:rsidRPr="00C42BB0">
        <w:rPr>
          <w:szCs w:val="23"/>
          <w:lang w:val="fr-FR"/>
        </w:rPr>
        <w:t>s et certifi</w:t>
      </w:r>
      <w:r>
        <w:rPr>
          <w:szCs w:val="23"/>
          <w:lang w:val="fr-FR"/>
        </w:rPr>
        <w:t>é</w:t>
      </w:r>
      <w:r w:rsidRPr="00C42BB0">
        <w:rPr>
          <w:szCs w:val="23"/>
          <w:lang w:val="fr-FR"/>
        </w:rPr>
        <w:t>s sont acceptés</w:t>
      </w:r>
      <w:r>
        <w:rPr>
          <w:szCs w:val="23"/>
          <w:lang w:val="fr-FR"/>
        </w:rPr>
        <w:t xml:space="preserve"> dans la mesure </w:t>
      </w:r>
      <w:r w:rsidR="00F225D7">
        <w:rPr>
          <w:szCs w:val="23"/>
          <w:lang w:val="fr-FR"/>
        </w:rPr>
        <w:t xml:space="preserve">où </w:t>
      </w:r>
      <w:r>
        <w:rPr>
          <w:szCs w:val="23"/>
          <w:lang w:val="fr-FR"/>
        </w:rPr>
        <w:t>ils comprennent toutes les informations indiquées ci-dessous.</w:t>
      </w:r>
      <w:r w:rsidR="00507422" w:rsidRPr="00C42BB0">
        <w:rPr>
          <w:szCs w:val="23"/>
          <w:lang w:val="fr-FR"/>
        </w:rPr>
        <w:t xml:space="preserve"> </w:t>
      </w:r>
    </w:p>
    <w:p w:rsidR="00507422" w:rsidRPr="00C42BB0" w:rsidRDefault="00507422">
      <w:pPr>
        <w:pStyle w:val="ListParagraph"/>
        <w:spacing w:after="0" w:line="240" w:lineRule="auto"/>
        <w:ind w:left="567"/>
        <w:jc w:val="both"/>
        <w:rPr>
          <w:szCs w:val="23"/>
          <w:lang w:val="fr-FR"/>
        </w:rPr>
      </w:pPr>
    </w:p>
    <w:p w:rsidR="00CD40E0" w:rsidRPr="00D865CA" w:rsidRDefault="00C42BB0">
      <w:pPr>
        <w:pStyle w:val="ListParagraph"/>
        <w:spacing w:after="0" w:line="240" w:lineRule="auto"/>
        <w:ind w:left="567"/>
        <w:rPr>
          <w:lang w:val="fr-FR"/>
        </w:rPr>
      </w:pPr>
      <w:r>
        <w:rPr>
          <w:szCs w:val="23"/>
          <w:lang w:val="fr-FR"/>
        </w:rPr>
        <w:t xml:space="preserve">En cas de doute, il est conseillé d’utiliser le formulaire de </w:t>
      </w:r>
      <w:r w:rsidR="006B3614">
        <w:rPr>
          <w:szCs w:val="23"/>
          <w:lang w:val="fr-FR"/>
        </w:rPr>
        <w:t>feuille</w:t>
      </w:r>
      <w:r>
        <w:rPr>
          <w:szCs w:val="23"/>
          <w:lang w:val="fr-FR"/>
        </w:rPr>
        <w:t xml:space="preserve"> </w:t>
      </w:r>
      <w:r w:rsidR="00F225D7">
        <w:rPr>
          <w:szCs w:val="23"/>
          <w:lang w:val="fr-FR"/>
        </w:rPr>
        <w:t xml:space="preserve">de </w:t>
      </w:r>
      <w:r>
        <w:rPr>
          <w:szCs w:val="23"/>
          <w:lang w:val="fr-FR"/>
        </w:rPr>
        <w:t xml:space="preserve">temps disponible en ligne sur le portail BEST 2.0 à la page </w:t>
      </w:r>
      <w:hyperlink r:id="rId10" w:history="1">
        <w:r w:rsidR="006B3614" w:rsidRPr="006B3614">
          <w:rPr>
            <w:rStyle w:val="Hyperlink"/>
            <w:szCs w:val="23"/>
            <w:lang w:val="fr-FR"/>
          </w:rPr>
          <w:t>I</w:t>
        </w:r>
        <w:r w:rsidRPr="006B3614">
          <w:rPr>
            <w:rStyle w:val="Hyperlink"/>
            <w:szCs w:val="23"/>
            <w:lang w:val="fr-FR"/>
          </w:rPr>
          <w:t>nformations utiles pour les projets financés</w:t>
        </w:r>
      </w:hyperlink>
      <w:r w:rsidR="00C214A5" w:rsidRPr="00D865CA">
        <w:rPr>
          <w:szCs w:val="23"/>
          <w:lang w:val="fr-FR"/>
        </w:rPr>
        <w:t>.</w:t>
      </w:r>
    </w:p>
    <w:p w:rsidR="00CD40E0" w:rsidRPr="00D865CA" w:rsidRDefault="00CD40E0">
      <w:pPr>
        <w:pStyle w:val="ListParagraph"/>
        <w:spacing w:after="0" w:line="240" w:lineRule="auto"/>
        <w:ind w:left="567"/>
        <w:jc w:val="both"/>
        <w:rPr>
          <w:szCs w:val="23"/>
          <w:lang w:val="fr-FR"/>
        </w:rPr>
      </w:pPr>
    </w:p>
    <w:p w:rsidR="00CD40E0" w:rsidRDefault="00C214A5">
      <w:pPr>
        <w:pStyle w:val="ListParagraph"/>
        <w:spacing w:after="0" w:line="240" w:lineRule="auto"/>
        <w:ind w:left="567"/>
        <w:jc w:val="both"/>
        <w:rPr>
          <w:szCs w:val="23"/>
          <w:lang w:val="fr-FR"/>
        </w:rPr>
      </w:pPr>
      <w:r w:rsidRPr="006B3614">
        <w:rPr>
          <w:szCs w:val="23"/>
          <w:lang w:val="fr-FR"/>
        </w:rPr>
        <w:t>Information</w:t>
      </w:r>
      <w:r w:rsidR="006B3614" w:rsidRPr="006B3614">
        <w:rPr>
          <w:szCs w:val="23"/>
          <w:lang w:val="fr-FR"/>
        </w:rPr>
        <w:t xml:space="preserve">s requises devant impérativement figurer dans les feuilles </w:t>
      </w:r>
      <w:r w:rsidR="00F225D7">
        <w:rPr>
          <w:szCs w:val="23"/>
          <w:lang w:val="fr-FR"/>
        </w:rPr>
        <w:t xml:space="preserve">de </w:t>
      </w:r>
      <w:r w:rsidR="006B3614" w:rsidRPr="006B3614">
        <w:rPr>
          <w:szCs w:val="23"/>
          <w:lang w:val="fr-FR"/>
        </w:rPr>
        <w:t>temps</w:t>
      </w:r>
      <w:r w:rsidRPr="006B3614">
        <w:rPr>
          <w:szCs w:val="23"/>
          <w:lang w:val="fr-FR"/>
        </w:rPr>
        <w:t>:</w:t>
      </w:r>
    </w:p>
    <w:p w:rsidR="00CA4032" w:rsidRPr="006B3614" w:rsidRDefault="00CA4032">
      <w:pPr>
        <w:pStyle w:val="ListParagraph"/>
        <w:spacing w:after="0" w:line="240" w:lineRule="auto"/>
        <w:ind w:left="567"/>
        <w:jc w:val="both"/>
        <w:rPr>
          <w:szCs w:val="23"/>
          <w:lang w:val="fr-FR"/>
        </w:rPr>
      </w:pP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a) </w:t>
      </w:r>
      <w:r w:rsidRPr="00D865CA">
        <w:rPr>
          <w:szCs w:val="23"/>
          <w:lang w:val="fr-FR"/>
        </w:rPr>
        <w:tab/>
      </w:r>
      <w:r w:rsidR="006B3614">
        <w:rPr>
          <w:szCs w:val="23"/>
          <w:lang w:val="fr-FR"/>
        </w:rPr>
        <w:t>I</w:t>
      </w:r>
      <w:r w:rsidRPr="00D865CA">
        <w:rPr>
          <w:szCs w:val="23"/>
          <w:lang w:val="fr-FR"/>
        </w:rPr>
        <w:t>dentification</w:t>
      </w:r>
      <w:r w:rsidR="006B3614">
        <w:rPr>
          <w:szCs w:val="23"/>
          <w:lang w:val="fr-FR"/>
        </w:rPr>
        <w:t xml:space="preserve"> ou</w:t>
      </w:r>
      <w:r w:rsidRPr="00D865CA">
        <w:rPr>
          <w:szCs w:val="23"/>
          <w:lang w:val="fr-FR"/>
        </w:rPr>
        <w:t xml:space="preserve"> </w:t>
      </w:r>
      <w:r w:rsidR="006B3614" w:rsidRPr="00D865CA">
        <w:rPr>
          <w:szCs w:val="23"/>
          <w:lang w:val="fr-FR"/>
        </w:rPr>
        <w:t>référence</w:t>
      </w:r>
      <w:r w:rsidRPr="00D865CA">
        <w:rPr>
          <w:szCs w:val="23"/>
          <w:lang w:val="fr-FR"/>
        </w:rPr>
        <w:t xml:space="preserve"> </w:t>
      </w:r>
      <w:r w:rsidR="006B3614">
        <w:rPr>
          <w:szCs w:val="23"/>
          <w:lang w:val="fr-FR"/>
        </w:rPr>
        <w:t>claire au projet</w:t>
      </w:r>
      <w:r w:rsidRPr="00D865CA">
        <w:rPr>
          <w:szCs w:val="23"/>
          <w:lang w:val="fr-FR"/>
        </w:rPr>
        <w:t xml:space="preserve"> BEST 2.0.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b) </w:t>
      </w:r>
      <w:r w:rsidRPr="00D865CA">
        <w:rPr>
          <w:szCs w:val="23"/>
          <w:lang w:val="fr-FR"/>
        </w:rPr>
        <w:tab/>
      </w:r>
      <w:r w:rsidR="006B3614">
        <w:rPr>
          <w:szCs w:val="23"/>
          <w:lang w:val="fr-FR"/>
        </w:rPr>
        <w:t>I</w:t>
      </w:r>
      <w:r w:rsidRPr="00D865CA">
        <w:rPr>
          <w:szCs w:val="23"/>
          <w:lang w:val="fr-FR"/>
        </w:rPr>
        <w:t>dentification</w:t>
      </w:r>
      <w:r w:rsidR="006B3614">
        <w:rPr>
          <w:szCs w:val="23"/>
          <w:lang w:val="fr-FR"/>
        </w:rPr>
        <w:t xml:space="preserve"> claire de l’employé(e)</w:t>
      </w:r>
      <w:r w:rsidRPr="00D865CA">
        <w:rPr>
          <w:szCs w:val="23"/>
          <w:lang w:val="fr-FR"/>
        </w:rPr>
        <w:t xml:space="preserve">.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c) </w:t>
      </w:r>
      <w:r w:rsidRPr="00D865CA">
        <w:rPr>
          <w:szCs w:val="23"/>
          <w:lang w:val="fr-FR"/>
        </w:rPr>
        <w:tab/>
      </w:r>
      <w:r w:rsidR="006B3614" w:rsidRPr="006B3614">
        <w:rPr>
          <w:szCs w:val="23"/>
          <w:lang w:val="fr-FR"/>
        </w:rPr>
        <w:t xml:space="preserve">Identification claire </w:t>
      </w:r>
      <w:r w:rsidR="006B3614">
        <w:rPr>
          <w:szCs w:val="23"/>
          <w:lang w:val="fr-FR"/>
        </w:rPr>
        <w:t>de l’année, mois et jours</w:t>
      </w:r>
      <w:r w:rsidRPr="00D865CA">
        <w:rPr>
          <w:szCs w:val="23"/>
          <w:lang w:val="fr-FR"/>
        </w:rPr>
        <w:t xml:space="preserve">.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d) </w:t>
      </w:r>
      <w:r w:rsidRPr="00D865CA">
        <w:rPr>
          <w:szCs w:val="23"/>
          <w:lang w:val="fr-FR"/>
        </w:rPr>
        <w:tab/>
        <w:t>N</w:t>
      </w:r>
      <w:r w:rsidR="006B3614">
        <w:rPr>
          <w:szCs w:val="23"/>
          <w:lang w:val="fr-FR"/>
        </w:rPr>
        <w:t xml:space="preserve">ombre d’unités de temps travaillées pour le projet </w:t>
      </w:r>
      <w:r w:rsidRPr="00D865CA">
        <w:rPr>
          <w:szCs w:val="23"/>
          <w:lang w:val="fr-FR"/>
        </w:rPr>
        <w:t xml:space="preserve">BEST 2.0.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e) </w:t>
      </w:r>
      <w:r w:rsidRPr="00D865CA">
        <w:rPr>
          <w:szCs w:val="23"/>
          <w:lang w:val="fr-FR"/>
        </w:rPr>
        <w:tab/>
      </w:r>
      <w:r w:rsidR="00F009DA" w:rsidRPr="00F009DA">
        <w:rPr>
          <w:szCs w:val="23"/>
          <w:lang w:val="fr-FR"/>
        </w:rPr>
        <w:t xml:space="preserve">Nombre d’unités de temps travaillées pour </w:t>
      </w:r>
      <w:r w:rsidR="00F009DA">
        <w:rPr>
          <w:szCs w:val="23"/>
          <w:lang w:val="fr-FR"/>
        </w:rPr>
        <w:t xml:space="preserve">d’autres </w:t>
      </w:r>
      <w:r w:rsidRPr="00D865CA">
        <w:rPr>
          <w:szCs w:val="23"/>
          <w:lang w:val="fr-FR"/>
        </w:rPr>
        <w:t xml:space="preserve">projet.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f) </w:t>
      </w:r>
      <w:r w:rsidRPr="00D865CA">
        <w:rPr>
          <w:szCs w:val="23"/>
          <w:lang w:val="fr-FR"/>
        </w:rPr>
        <w:tab/>
      </w:r>
      <w:r w:rsidR="00F009DA" w:rsidRPr="00D865CA">
        <w:rPr>
          <w:szCs w:val="23"/>
          <w:lang w:val="fr-FR"/>
        </w:rPr>
        <w:t>N</w:t>
      </w:r>
      <w:r w:rsidR="00F009DA">
        <w:rPr>
          <w:szCs w:val="23"/>
          <w:lang w:val="fr-FR"/>
        </w:rPr>
        <w:t>ombre d’unités de temps travaillées au total</w:t>
      </w:r>
      <w:r w:rsidRPr="00D865CA">
        <w:rPr>
          <w:szCs w:val="23"/>
          <w:lang w:val="fr-FR"/>
        </w:rPr>
        <w:t xml:space="preserve">.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g) </w:t>
      </w:r>
      <w:r w:rsidRPr="00D865CA">
        <w:rPr>
          <w:szCs w:val="23"/>
          <w:lang w:val="fr-FR"/>
        </w:rPr>
        <w:tab/>
        <w:t xml:space="preserve">Date </w:t>
      </w:r>
      <w:r w:rsidR="00F009DA">
        <w:rPr>
          <w:szCs w:val="23"/>
          <w:lang w:val="fr-FR"/>
        </w:rPr>
        <w:t>et</w:t>
      </w:r>
      <w:r w:rsidRPr="00D865CA">
        <w:rPr>
          <w:szCs w:val="23"/>
          <w:lang w:val="fr-FR"/>
        </w:rPr>
        <w:t xml:space="preserve"> signature </w:t>
      </w:r>
      <w:r w:rsidR="00F009DA">
        <w:rPr>
          <w:szCs w:val="23"/>
          <w:lang w:val="fr-FR"/>
        </w:rPr>
        <w:t>de l’</w:t>
      </w:r>
      <w:r w:rsidRPr="00D865CA">
        <w:rPr>
          <w:szCs w:val="23"/>
          <w:lang w:val="fr-FR"/>
        </w:rPr>
        <w:t>employ</w:t>
      </w:r>
      <w:r w:rsidR="00F009DA">
        <w:rPr>
          <w:szCs w:val="23"/>
          <w:lang w:val="fr-FR"/>
        </w:rPr>
        <w:t>é(e)</w:t>
      </w:r>
      <w:r w:rsidRPr="00D865CA">
        <w:rPr>
          <w:szCs w:val="23"/>
          <w:lang w:val="fr-FR"/>
        </w:rPr>
        <w:t xml:space="preserve">. </w:t>
      </w:r>
    </w:p>
    <w:p w:rsidR="00CD40E0" w:rsidRPr="00D865CA" w:rsidRDefault="00C214A5" w:rsidP="00DE3FB1">
      <w:pPr>
        <w:pStyle w:val="ListParagraph"/>
        <w:spacing w:before="40" w:after="40" w:line="240" w:lineRule="auto"/>
        <w:ind w:left="992"/>
        <w:contextualSpacing w:val="0"/>
        <w:jc w:val="both"/>
        <w:rPr>
          <w:szCs w:val="23"/>
          <w:lang w:val="fr-FR"/>
        </w:rPr>
      </w:pPr>
      <w:r w:rsidRPr="00D865CA">
        <w:rPr>
          <w:szCs w:val="23"/>
          <w:lang w:val="fr-FR"/>
        </w:rPr>
        <w:t xml:space="preserve">h) </w:t>
      </w:r>
      <w:r w:rsidRPr="00D865CA">
        <w:rPr>
          <w:szCs w:val="23"/>
          <w:lang w:val="fr-FR"/>
        </w:rPr>
        <w:tab/>
        <w:t xml:space="preserve">Date </w:t>
      </w:r>
      <w:r w:rsidR="00F009DA">
        <w:rPr>
          <w:szCs w:val="23"/>
          <w:lang w:val="fr-FR"/>
        </w:rPr>
        <w:t xml:space="preserve">et </w:t>
      </w:r>
      <w:r w:rsidRPr="00D865CA">
        <w:rPr>
          <w:szCs w:val="23"/>
          <w:lang w:val="fr-FR"/>
        </w:rPr>
        <w:t xml:space="preserve">signature </w:t>
      </w:r>
      <w:r w:rsidR="00F009DA">
        <w:rPr>
          <w:szCs w:val="23"/>
          <w:lang w:val="fr-FR"/>
        </w:rPr>
        <w:t>du superviseur</w:t>
      </w:r>
      <w:r w:rsidRPr="00D865CA">
        <w:rPr>
          <w:szCs w:val="23"/>
          <w:lang w:val="fr-FR"/>
        </w:rPr>
        <w:t xml:space="preserve">. </w:t>
      </w:r>
    </w:p>
    <w:p w:rsidR="00CD40E0" w:rsidRPr="00D865CA" w:rsidRDefault="00CD40E0">
      <w:pPr>
        <w:pStyle w:val="ListParagraph"/>
        <w:spacing w:after="0" w:line="240" w:lineRule="auto"/>
        <w:ind w:left="567"/>
        <w:jc w:val="both"/>
        <w:rPr>
          <w:szCs w:val="23"/>
          <w:lang w:val="fr-FR"/>
        </w:rPr>
      </w:pPr>
    </w:p>
    <w:p w:rsidR="00CD40E0" w:rsidRPr="00D865CA" w:rsidRDefault="005E3B2B">
      <w:pPr>
        <w:pStyle w:val="ListParagraph"/>
        <w:spacing w:after="0" w:line="240" w:lineRule="auto"/>
        <w:ind w:left="567"/>
        <w:jc w:val="both"/>
        <w:rPr>
          <w:szCs w:val="23"/>
          <w:lang w:val="fr-FR"/>
        </w:rPr>
      </w:pPr>
      <w:r>
        <w:rPr>
          <w:szCs w:val="23"/>
          <w:lang w:val="fr-FR"/>
        </w:rPr>
        <w:t>La feuille de temps pour un mois donné doit être signée par le personnel concerné et approuvée par son superviseur dans un délai raisonnable – c’est-à-dire au plus tard la première semaine du mois suivant.</w:t>
      </w:r>
      <w:r w:rsidR="00C214A5" w:rsidRPr="00D865CA">
        <w:rPr>
          <w:szCs w:val="23"/>
          <w:lang w:val="fr-FR"/>
        </w:rPr>
        <w:t xml:space="preserve"> </w:t>
      </w:r>
    </w:p>
    <w:p w:rsidR="00CD40E0" w:rsidRPr="00D865CA" w:rsidRDefault="00CD40E0">
      <w:pPr>
        <w:pStyle w:val="ListParagraph"/>
        <w:spacing w:after="0" w:line="240" w:lineRule="auto"/>
        <w:ind w:left="567"/>
        <w:jc w:val="both"/>
        <w:rPr>
          <w:szCs w:val="23"/>
          <w:lang w:val="fr-FR"/>
        </w:rPr>
      </w:pPr>
    </w:p>
    <w:p w:rsidR="00CD40E0" w:rsidRPr="00D865CA" w:rsidRDefault="00DC045D">
      <w:pPr>
        <w:pStyle w:val="ListParagraph"/>
        <w:spacing w:after="0" w:line="240" w:lineRule="auto"/>
        <w:ind w:left="567"/>
        <w:jc w:val="both"/>
        <w:rPr>
          <w:szCs w:val="23"/>
          <w:lang w:val="fr-FR"/>
        </w:rPr>
      </w:pPr>
      <w:r>
        <w:rPr>
          <w:szCs w:val="23"/>
          <w:lang w:val="fr-FR"/>
        </w:rPr>
        <w:t xml:space="preserve">Les feuilles de temps sont très importantes car elles procurent une base essentielle pour </w:t>
      </w:r>
      <w:r w:rsidR="00332DA8">
        <w:rPr>
          <w:szCs w:val="23"/>
          <w:lang w:val="fr-FR"/>
        </w:rPr>
        <w:t xml:space="preserve">l’analyse des rapports et </w:t>
      </w:r>
      <w:r>
        <w:rPr>
          <w:szCs w:val="23"/>
          <w:lang w:val="fr-FR"/>
        </w:rPr>
        <w:t>les audit</w:t>
      </w:r>
      <w:r w:rsidR="00F225D7">
        <w:rPr>
          <w:szCs w:val="23"/>
          <w:lang w:val="fr-FR"/>
        </w:rPr>
        <w:t>s</w:t>
      </w:r>
      <w:r>
        <w:rPr>
          <w:szCs w:val="23"/>
          <w:lang w:val="fr-FR"/>
        </w:rPr>
        <w:t xml:space="preserve"> avec un </w:t>
      </w:r>
      <w:r w:rsidR="00F225D7">
        <w:rPr>
          <w:szCs w:val="23"/>
          <w:lang w:val="fr-FR"/>
        </w:rPr>
        <w:t xml:space="preserve">rapportage journalier qui peut être vérifié avec d’autres sources de rapportage (vacances, déplacement, maladie, réunions, etc.) comme reflété dans la base de données des ressources humaine et/ou les feuilles de paie. </w:t>
      </w:r>
      <w:r w:rsidR="00F225D7" w:rsidRPr="005423BB">
        <w:rPr>
          <w:b/>
          <w:szCs w:val="23"/>
          <w:u w:val="single"/>
          <w:lang w:val="fr-FR"/>
        </w:rPr>
        <w:t>Leur exactitude est donc très importante.</w:t>
      </w:r>
    </w:p>
    <w:p w:rsidR="00CD40E0" w:rsidRPr="00D865CA" w:rsidRDefault="00E014F3">
      <w:pPr>
        <w:pStyle w:val="Heading1"/>
        <w:numPr>
          <w:ilvl w:val="0"/>
          <w:numId w:val="4"/>
        </w:numPr>
        <w:ind w:left="851" w:hanging="851"/>
        <w:rPr>
          <w:lang w:val="fr-FR"/>
        </w:rPr>
      </w:pPr>
      <w:r>
        <w:rPr>
          <w:lang w:val="fr-FR"/>
        </w:rPr>
        <w:t>Critères d’éligibilité des coûts</w:t>
      </w:r>
    </w:p>
    <w:p w:rsidR="00CD40E0" w:rsidRDefault="00780CE9">
      <w:pPr>
        <w:spacing w:after="0" w:line="240" w:lineRule="auto"/>
        <w:ind w:left="567"/>
        <w:jc w:val="both"/>
        <w:rPr>
          <w:rFonts w:cs="Arial"/>
          <w:lang w:val="fr-FR"/>
        </w:rPr>
      </w:pPr>
      <w:r w:rsidRPr="00780CE9">
        <w:rPr>
          <w:rFonts w:cs="Arial"/>
          <w:lang w:val="fr-FR"/>
        </w:rPr>
        <w:t xml:space="preserve">Les coûts éligibles sont les </w:t>
      </w:r>
      <w:r w:rsidRPr="009010C8">
        <w:rPr>
          <w:rFonts w:cs="Arial"/>
          <w:b/>
          <w:u w:val="single"/>
          <w:lang w:val="fr-FR"/>
        </w:rPr>
        <w:t>coûts actuels encourus par le(s) bénéficiaire(s)</w:t>
      </w:r>
      <w:r w:rsidRPr="00780CE9">
        <w:rPr>
          <w:rFonts w:cs="Arial"/>
          <w:lang w:val="fr-FR"/>
        </w:rPr>
        <w:t xml:space="preserve"> </w:t>
      </w:r>
      <w:r>
        <w:rPr>
          <w:rFonts w:cs="Arial"/>
          <w:lang w:val="fr-FR"/>
        </w:rPr>
        <w:t>qui satisfont tous les critères suivants</w:t>
      </w:r>
      <w:r w:rsidR="00C214A5" w:rsidRPr="00780CE9">
        <w:rPr>
          <w:rFonts w:cs="Arial"/>
          <w:lang w:val="fr-FR"/>
        </w:rPr>
        <w:t xml:space="preserve"> (</w:t>
      </w:r>
      <w:r>
        <w:rPr>
          <w:rFonts w:cs="Arial"/>
          <w:lang w:val="fr-FR"/>
        </w:rPr>
        <w:t xml:space="preserve">voir </w:t>
      </w:r>
      <w:r w:rsidR="00C214A5" w:rsidRPr="00B93865">
        <w:rPr>
          <w:rFonts w:cs="Arial"/>
          <w:u w:val="single"/>
          <w:lang w:val="fr-FR"/>
        </w:rPr>
        <w:t>Article 13</w:t>
      </w:r>
      <w:r w:rsidRPr="00B93865">
        <w:rPr>
          <w:rFonts w:cs="Arial"/>
          <w:u w:val="single"/>
          <w:lang w:val="fr-FR"/>
        </w:rPr>
        <w:t xml:space="preserve"> des conditions générales du contrat de subvention</w:t>
      </w:r>
      <w:r>
        <w:rPr>
          <w:rFonts w:cs="Arial"/>
          <w:lang w:val="fr-FR"/>
        </w:rPr>
        <w:t>)</w:t>
      </w:r>
      <w:r w:rsidR="00C214A5" w:rsidRPr="00780CE9">
        <w:rPr>
          <w:rFonts w:cs="Arial"/>
          <w:lang w:val="fr-FR"/>
        </w:rPr>
        <w:t>:</w:t>
      </w:r>
    </w:p>
    <w:p w:rsidR="009010C8" w:rsidRDefault="009010C8" w:rsidP="009010C8">
      <w:pPr>
        <w:autoSpaceDE w:val="0"/>
        <w:autoSpaceDN w:val="0"/>
        <w:adjustRightInd w:val="0"/>
        <w:spacing w:before="60" w:after="60" w:line="240" w:lineRule="auto"/>
        <w:ind w:left="1134" w:hanging="425"/>
        <w:jc w:val="both"/>
        <w:rPr>
          <w:rFonts w:eastAsia="Calibri" w:cs="Arial"/>
          <w:color w:val="auto"/>
          <w:lang w:val="fr-FR"/>
        </w:rPr>
      </w:pPr>
    </w:p>
    <w:p w:rsidR="00B93865" w:rsidRPr="00B93865" w:rsidRDefault="00B93865" w:rsidP="009010C8">
      <w:pPr>
        <w:autoSpaceDE w:val="0"/>
        <w:autoSpaceDN w:val="0"/>
        <w:adjustRightInd w:val="0"/>
        <w:spacing w:before="60" w:after="60" w:line="240" w:lineRule="auto"/>
        <w:ind w:left="1134" w:hanging="425"/>
        <w:jc w:val="both"/>
        <w:rPr>
          <w:rFonts w:eastAsia="Calibri" w:cs="Arial"/>
          <w:color w:val="auto"/>
          <w:lang w:val="fr-FR"/>
        </w:rPr>
      </w:pPr>
      <w:r w:rsidRPr="00E912FD">
        <w:rPr>
          <w:rFonts w:eastAsia="Calibri" w:cs="Arial"/>
          <w:color w:val="auto"/>
          <w:lang w:val="fr-FR"/>
        </w:rPr>
        <w:t xml:space="preserve">a) </w:t>
      </w:r>
      <w:r w:rsidRPr="00B93865">
        <w:rPr>
          <w:rFonts w:eastAsia="Calibri" w:cs="Arial"/>
          <w:color w:val="auto"/>
          <w:lang w:val="fr-FR"/>
        </w:rPr>
        <w:t xml:space="preserve">Ils sont </w:t>
      </w:r>
      <w:r w:rsidRPr="000D1F3A">
        <w:rPr>
          <w:rFonts w:eastAsia="Calibri" w:cs="Arial"/>
          <w:b/>
          <w:color w:val="auto"/>
          <w:lang w:val="fr-FR"/>
        </w:rPr>
        <w:t xml:space="preserve">encourus pendant la période de mise en œuvre du </w:t>
      </w:r>
      <w:r w:rsidR="000D1F3A" w:rsidRPr="000D1F3A">
        <w:rPr>
          <w:rFonts w:eastAsia="Calibri" w:cs="Arial"/>
          <w:b/>
          <w:color w:val="auto"/>
          <w:lang w:val="fr-FR"/>
        </w:rPr>
        <w:t>p</w:t>
      </w:r>
      <w:r w:rsidRPr="000D1F3A">
        <w:rPr>
          <w:rFonts w:eastAsia="Calibri" w:cs="Arial"/>
          <w:b/>
          <w:color w:val="auto"/>
          <w:lang w:val="fr-FR"/>
        </w:rPr>
        <w:t>rojet</w:t>
      </w:r>
      <w:r w:rsidRPr="00B93865">
        <w:rPr>
          <w:rFonts w:eastAsia="Calibri" w:cs="Arial"/>
          <w:color w:val="auto"/>
          <w:lang w:val="fr-FR"/>
        </w:rPr>
        <w:t xml:space="preserve"> telle que définie à </w:t>
      </w:r>
      <w:r w:rsidRPr="009010C8">
        <w:rPr>
          <w:rFonts w:eastAsia="Calibri" w:cs="Arial"/>
          <w:b/>
          <w:color w:val="auto"/>
          <w:lang w:val="fr-FR"/>
        </w:rPr>
        <w:t>l’Article 3 «</w:t>
      </w:r>
      <w:r w:rsidR="009010C8" w:rsidRPr="009010C8">
        <w:rPr>
          <w:rFonts w:eastAsia="Calibri" w:cs="Arial"/>
          <w:b/>
          <w:color w:val="auto"/>
          <w:lang w:val="fr-FR"/>
        </w:rPr>
        <w:t xml:space="preserve"> </w:t>
      </w:r>
      <w:proofErr w:type="spellStart"/>
      <w:r w:rsidR="009010C8" w:rsidRPr="009010C8">
        <w:rPr>
          <w:rFonts w:eastAsia="Calibri" w:cs="Arial"/>
          <w:b/>
          <w:color w:val="auto"/>
          <w:lang w:val="fr-FR"/>
        </w:rPr>
        <w:t>Periode</w:t>
      </w:r>
      <w:proofErr w:type="spellEnd"/>
      <w:r w:rsidR="009010C8" w:rsidRPr="009010C8">
        <w:rPr>
          <w:rFonts w:eastAsia="Calibri" w:cs="Arial"/>
          <w:b/>
          <w:color w:val="auto"/>
          <w:lang w:val="fr-FR"/>
        </w:rPr>
        <w:t xml:space="preserve"> de Mise en </w:t>
      </w:r>
      <w:r w:rsidRPr="009010C8">
        <w:rPr>
          <w:rFonts w:eastAsia="Calibri" w:cs="Arial"/>
          <w:b/>
          <w:color w:val="auto"/>
          <w:lang w:val="fr-FR"/>
        </w:rPr>
        <w:t>Œ</w:t>
      </w:r>
      <w:r w:rsidR="009010C8" w:rsidRPr="009010C8">
        <w:rPr>
          <w:rFonts w:eastAsia="Calibri" w:cs="Arial"/>
          <w:b/>
          <w:color w:val="auto"/>
          <w:lang w:val="fr-FR"/>
        </w:rPr>
        <w:t>uvre</w:t>
      </w:r>
      <w:r w:rsidRPr="009010C8">
        <w:rPr>
          <w:rFonts w:eastAsia="Calibri" w:cs="Arial"/>
          <w:b/>
          <w:color w:val="auto"/>
          <w:lang w:val="fr-FR"/>
        </w:rPr>
        <w:t> » des Conditions Particulières</w:t>
      </w:r>
      <w:r w:rsidRPr="00B93865">
        <w:rPr>
          <w:rFonts w:eastAsia="Calibri" w:cs="Arial"/>
          <w:color w:val="auto"/>
          <w:lang w:val="fr-FR"/>
        </w:rPr>
        <w:t xml:space="preserve">. Il convient de noter en particulier ce qui suit: </w:t>
      </w:r>
    </w:p>
    <w:p w:rsidR="00B93865" w:rsidRPr="00B93865" w:rsidRDefault="00B93865" w:rsidP="009010C8">
      <w:pPr>
        <w:autoSpaceDE w:val="0"/>
        <w:autoSpaceDN w:val="0"/>
        <w:adjustRightInd w:val="0"/>
        <w:spacing w:before="60" w:after="60" w:line="240" w:lineRule="auto"/>
        <w:ind w:left="1560" w:hanging="426"/>
        <w:jc w:val="both"/>
        <w:rPr>
          <w:rFonts w:eastAsia="Calibri" w:cs="Arial"/>
          <w:color w:val="auto"/>
          <w:lang w:val="fr-FR"/>
        </w:rPr>
      </w:pPr>
      <w:r w:rsidRPr="00B93865">
        <w:rPr>
          <w:rFonts w:eastAsia="Calibri" w:cs="Arial"/>
          <w:color w:val="auto"/>
          <w:lang w:val="fr-FR"/>
        </w:rPr>
        <w:t xml:space="preserve">(i) </w:t>
      </w:r>
      <w:r w:rsidRPr="00B93865">
        <w:rPr>
          <w:rFonts w:eastAsia="Calibri" w:cs="Arial"/>
          <w:color w:val="auto"/>
          <w:lang w:val="fr-FR"/>
        </w:rPr>
        <w:tab/>
        <w:t xml:space="preserve">les coûts liés à des services et travaux doivent porter sur des activités réalisées durant la période de mise en œuvre. Les coûts afférents aux fournitures doivent concerner la livraison et l’installation de matériels durant la période de mise en œuvre. La signature d’un contrat, la passation d’une commande ou l’engagement d’une dépense pendant la période de mise en œuvre pour la fourniture future de services, de travaux ou de fournitures ne répondent pas à cette exigence; </w:t>
      </w:r>
    </w:p>
    <w:p w:rsidR="00B93865" w:rsidRPr="00B93865" w:rsidRDefault="00B93865" w:rsidP="009010C8">
      <w:pPr>
        <w:autoSpaceDE w:val="0"/>
        <w:autoSpaceDN w:val="0"/>
        <w:adjustRightInd w:val="0"/>
        <w:spacing w:before="60" w:after="60" w:line="240" w:lineRule="auto"/>
        <w:ind w:left="1560" w:hanging="426"/>
        <w:jc w:val="both"/>
        <w:rPr>
          <w:rFonts w:eastAsia="Calibri" w:cs="Arial"/>
          <w:color w:val="auto"/>
          <w:lang w:val="fr-FR"/>
        </w:rPr>
      </w:pPr>
      <w:r w:rsidRPr="00B93865">
        <w:rPr>
          <w:rFonts w:eastAsia="Calibri" w:cs="Arial"/>
          <w:color w:val="auto"/>
          <w:lang w:val="fr-FR"/>
        </w:rPr>
        <w:t xml:space="preserve">(ii) </w:t>
      </w:r>
      <w:r w:rsidRPr="00B93865">
        <w:rPr>
          <w:rFonts w:eastAsia="Calibri" w:cs="Arial"/>
          <w:color w:val="auto"/>
          <w:lang w:val="fr-FR"/>
        </w:rPr>
        <w:tab/>
        <w:t xml:space="preserve">les coûts exposés devraient être payés avant la présentation des rapports finaux. </w:t>
      </w:r>
      <w:r w:rsidR="008F5108" w:rsidRPr="008F5108">
        <w:rPr>
          <w:rFonts w:eastAsia="Calibri" w:cs="Arial"/>
          <w:color w:val="auto"/>
          <w:lang w:val="fr-FR"/>
        </w:rPr>
        <w:t>Ils peuvent être payés ultérieurement, pour autant qu’ils soient mentionnés dans le rapport final, avec la date estimée de paiement;</w:t>
      </w:r>
    </w:p>
    <w:p w:rsidR="00B93865" w:rsidRPr="00B93865" w:rsidRDefault="00E73038" w:rsidP="009010C8">
      <w:pPr>
        <w:autoSpaceDE w:val="0"/>
        <w:autoSpaceDN w:val="0"/>
        <w:adjustRightInd w:val="0"/>
        <w:spacing w:before="60" w:after="60" w:line="240" w:lineRule="auto"/>
        <w:ind w:left="1560" w:hanging="426"/>
        <w:jc w:val="both"/>
        <w:rPr>
          <w:rFonts w:eastAsia="Calibri" w:cs="Arial"/>
          <w:color w:val="auto"/>
          <w:lang w:val="fr-FR"/>
        </w:rPr>
      </w:pPr>
      <w:r w:rsidRPr="00B93865">
        <w:rPr>
          <w:rFonts w:eastAsia="Calibri" w:cs="Arial"/>
          <w:color w:val="auto"/>
          <w:lang w:val="fr-FR"/>
        </w:rPr>
        <w:t xml:space="preserve"> </w:t>
      </w:r>
      <w:r w:rsidR="00B93865" w:rsidRPr="00B93865">
        <w:rPr>
          <w:rFonts w:eastAsia="Calibri" w:cs="Arial"/>
          <w:color w:val="auto"/>
          <w:lang w:val="fr-FR"/>
        </w:rPr>
        <w:t xml:space="preserve">(iv) </w:t>
      </w:r>
      <w:r>
        <w:rPr>
          <w:rFonts w:eastAsia="Calibri" w:cs="Arial"/>
          <w:color w:val="auto"/>
          <w:lang w:val="fr-FR"/>
        </w:rPr>
        <w:tab/>
      </w:r>
      <w:r w:rsidR="00B93865" w:rsidRPr="00B93865">
        <w:rPr>
          <w:rFonts w:eastAsia="Calibri" w:cs="Arial"/>
          <w:color w:val="auto"/>
          <w:lang w:val="fr-FR"/>
        </w:rPr>
        <w:t xml:space="preserve">les règles et procédures de passation des marchés, visées à l’Article 9, peuvent avoir été initiées et des contrats peuvent être signés par le(s) Bénéficiaire(s) avant le début de la période de mise en œuvre, pour autant que les dispositions de l’Annexe 3 aient été respectées; </w:t>
      </w:r>
    </w:p>
    <w:p w:rsidR="00B93865" w:rsidRPr="00B93865" w:rsidRDefault="00B93865" w:rsidP="009010C8">
      <w:pPr>
        <w:autoSpaceDE w:val="0"/>
        <w:autoSpaceDN w:val="0"/>
        <w:adjustRightInd w:val="0"/>
        <w:spacing w:before="60" w:after="60" w:line="240" w:lineRule="auto"/>
        <w:ind w:left="1134" w:hanging="425"/>
        <w:jc w:val="both"/>
        <w:rPr>
          <w:rFonts w:eastAsia="Calibri" w:cs="Arial"/>
          <w:color w:val="auto"/>
          <w:lang w:val="fr-FR"/>
        </w:rPr>
      </w:pPr>
      <w:r w:rsidRPr="00B93865">
        <w:rPr>
          <w:rFonts w:eastAsia="Calibri" w:cs="Arial"/>
          <w:color w:val="auto"/>
          <w:lang w:val="fr-FR"/>
        </w:rPr>
        <w:t xml:space="preserve">b. </w:t>
      </w:r>
      <w:r w:rsidRPr="00B93865">
        <w:rPr>
          <w:rFonts w:eastAsia="Calibri" w:cs="Arial"/>
          <w:color w:val="auto"/>
          <w:lang w:val="fr-FR"/>
        </w:rPr>
        <w:tab/>
        <w:t xml:space="preserve">ils sont mentionnés dans le budget global estimé du Projet; </w:t>
      </w:r>
    </w:p>
    <w:p w:rsidR="00B93865" w:rsidRPr="00B93865" w:rsidRDefault="00B93865" w:rsidP="009010C8">
      <w:pPr>
        <w:autoSpaceDE w:val="0"/>
        <w:autoSpaceDN w:val="0"/>
        <w:adjustRightInd w:val="0"/>
        <w:spacing w:before="60" w:after="60" w:line="240" w:lineRule="auto"/>
        <w:ind w:left="1134" w:hanging="425"/>
        <w:jc w:val="both"/>
        <w:rPr>
          <w:rFonts w:eastAsia="Calibri" w:cs="Arial"/>
          <w:color w:val="auto"/>
          <w:lang w:val="fr-FR"/>
        </w:rPr>
      </w:pPr>
      <w:r w:rsidRPr="00B93865">
        <w:rPr>
          <w:rFonts w:eastAsia="Calibri" w:cs="Arial"/>
          <w:color w:val="auto"/>
          <w:lang w:val="fr-FR"/>
        </w:rPr>
        <w:t xml:space="preserve">c. </w:t>
      </w:r>
      <w:r w:rsidRPr="00B93865">
        <w:rPr>
          <w:rFonts w:eastAsia="Calibri" w:cs="Arial"/>
          <w:color w:val="auto"/>
          <w:lang w:val="fr-FR"/>
        </w:rPr>
        <w:tab/>
        <w:t xml:space="preserve">ils sont nécessaires à l’exécution du Projet; </w:t>
      </w:r>
    </w:p>
    <w:p w:rsidR="00B93865" w:rsidRPr="00B93865" w:rsidRDefault="00B93865" w:rsidP="009010C8">
      <w:pPr>
        <w:autoSpaceDE w:val="0"/>
        <w:autoSpaceDN w:val="0"/>
        <w:adjustRightInd w:val="0"/>
        <w:spacing w:before="60" w:after="60" w:line="240" w:lineRule="auto"/>
        <w:ind w:left="1134" w:hanging="425"/>
        <w:jc w:val="both"/>
        <w:rPr>
          <w:rFonts w:eastAsia="Calibri" w:cs="Arial"/>
          <w:color w:val="auto"/>
          <w:lang w:val="fr-FR"/>
        </w:rPr>
      </w:pPr>
      <w:r w:rsidRPr="00B93865">
        <w:rPr>
          <w:rFonts w:eastAsia="Calibri" w:cs="Arial"/>
          <w:color w:val="auto"/>
          <w:lang w:val="fr-FR"/>
        </w:rPr>
        <w:t xml:space="preserve">d. </w:t>
      </w:r>
      <w:r w:rsidRPr="00B93865">
        <w:rPr>
          <w:rFonts w:eastAsia="Calibri" w:cs="Arial"/>
          <w:color w:val="auto"/>
          <w:lang w:val="fr-FR"/>
        </w:rPr>
        <w:tab/>
        <w:t>ils sont identifiables et vérifiables, et notamment sont inscrits dans la comptabilité du (des) Bénéficiaire(s) et déterminés conformément aux normes comptables et aux pratiques habituelles du (des) Bénéficiaire(s) en matière de comptabilité analytique;</w:t>
      </w:r>
    </w:p>
    <w:p w:rsidR="00B93865" w:rsidRPr="00B93865" w:rsidRDefault="00B93865" w:rsidP="009010C8">
      <w:pPr>
        <w:autoSpaceDE w:val="0"/>
        <w:autoSpaceDN w:val="0"/>
        <w:adjustRightInd w:val="0"/>
        <w:spacing w:before="60" w:after="60" w:line="240" w:lineRule="auto"/>
        <w:ind w:left="1134" w:hanging="425"/>
        <w:jc w:val="both"/>
        <w:rPr>
          <w:rFonts w:eastAsia="Calibri" w:cs="Arial"/>
          <w:color w:val="auto"/>
          <w:lang w:val="fr-FR"/>
        </w:rPr>
      </w:pPr>
      <w:r w:rsidRPr="00B93865">
        <w:rPr>
          <w:rFonts w:eastAsia="Calibri" w:cs="Arial"/>
          <w:color w:val="auto"/>
          <w:lang w:val="fr-FR"/>
        </w:rPr>
        <w:t xml:space="preserve">e. </w:t>
      </w:r>
      <w:r w:rsidRPr="00B93865">
        <w:rPr>
          <w:rFonts w:eastAsia="Calibri" w:cs="Arial"/>
          <w:color w:val="auto"/>
          <w:lang w:val="fr-FR"/>
        </w:rPr>
        <w:tab/>
        <w:t xml:space="preserve">ils satisfont aux dispositions de la législation fiscale et sociale applicable; </w:t>
      </w:r>
    </w:p>
    <w:p w:rsidR="00B93865" w:rsidRPr="00B93865" w:rsidRDefault="00B93865" w:rsidP="009010C8">
      <w:pPr>
        <w:autoSpaceDE w:val="0"/>
        <w:autoSpaceDN w:val="0"/>
        <w:adjustRightInd w:val="0"/>
        <w:spacing w:before="60" w:after="60" w:line="240" w:lineRule="auto"/>
        <w:ind w:left="1134" w:hanging="425"/>
        <w:jc w:val="both"/>
        <w:rPr>
          <w:rFonts w:eastAsia="Calibri" w:cs="Arial"/>
          <w:color w:val="auto"/>
          <w:lang w:val="fr-FR"/>
        </w:rPr>
      </w:pPr>
      <w:r w:rsidRPr="00B93865">
        <w:rPr>
          <w:rFonts w:eastAsia="Calibri" w:cs="Arial"/>
          <w:color w:val="auto"/>
          <w:lang w:val="fr-FR"/>
        </w:rPr>
        <w:t>f.</w:t>
      </w:r>
      <w:r w:rsidRPr="00B93865">
        <w:rPr>
          <w:rFonts w:eastAsia="Calibri" w:cs="Arial"/>
          <w:color w:val="auto"/>
          <w:lang w:val="fr-FR"/>
        </w:rPr>
        <w:tab/>
        <w:t>ils sont raisonnables, justifiés et respectent le principe de bonne gestion financière, notamment en ce qui concerne l'économie et l'efficience.</w:t>
      </w:r>
    </w:p>
    <w:p w:rsidR="00CD40E0" w:rsidRPr="00D865CA" w:rsidRDefault="00D57D10">
      <w:pPr>
        <w:pStyle w:val="Heading1"/>
        <w:numPr>
          <w:ilvl w:val="0"/>
          <w:numId w:val="4"/>
        </w:numPr>
        <w:ind w:left="851" w:hanging="851"/>
        <w:rPr>
          <w:lang w:val="fr-FR"/>
        </w:rPr>
      </w:pPr>
      <w:r>
        <w:rPr>
          <w:lang w:val="fr-FR"/>
        </w:rPr>
        <w:t>Coûts i</w:t>
      </w:r>
      <w:r w:rsidR="00C214A5" w:rsidRPr="00D865CA">
        <w:rPr>
          <w:lang w:val="fr-FR"/>
        </w:rPr>
        <w:t>n</w:t>
      </w:r>
      <w:r>
        <w:rPr>
          <w:lang w:val="fr-FR"/>
        </w:rPr>
        <w:t>é</w:t>
      </w:r>
      <w:r w:rsidR="00C214A5" w:rsidRPr="00D865CA">
        <w:rPr>
          <w:lang w:val="fr-FR"/>
        </w:rPr>
        <w:t>ligible</w:t>
      </w:r>
      <w:r>
        <w:rPr>
          <w:lang w:val="fr-FR"/>
        </w:rPr>
        <w:t>s</w:t>
      </w:r>
    </w:p>
    <w:p w:rsidR="00211E0C" w:rsidRPr="00211E0C" w:rsidRDefault="00211E0C" w:rsidP="00211E0C">
      <w:pPr>
        <w:ind w:left="567"/>
        <w:rPr>
          <w:lang w:val="fr-FR"/>
        </w:rPr>
      </w:pPr>
      <w:r w:rsidRPr="00211E0C">
        <w:rPr>
          <w:lang w:val="fr-FR"/>
        </w:rPr>
        <w:t xml:space="preserve">Sont considérés comme non éligibles les coûts suivants: </w:t>
      </w:r>
    </w:p>
    <w:p w:rsidR="00211E0C" w:rsidRPr="00211E0C" w:rsidRDefault="00211E0C" w:rsidP="00211E0C">
      <w:pPr>
        <w:pStyle w:val="Default"/>
        <w:spacing w:before="60" w:after="60"/>
        <w:ind w:left="1134" w:hanging="425"/>
        <w:jc w:val="both"/>
        <w:rPr>
          <w:rFonts w:asciiTheme="minorHAnsi" w:hAnsiTheme="minorHAnsi"/>
          <w:sz w:val="22"/>
          <w:szCs w:val="22"/>
          <w:lang w:val="fr-FR"/>
        </w:rPr>
      </w:pPr>
      <w:r w:rsidRPr="00211E0C">
        <w:rPr>
          <w:rFonts w:asciiTheme="minorHAnsi" w:hAnsiTheme="minorHAnsi"/>
          <w:sz w:val="22"/>
          <w:szCs w:val="22"/>
          <w:lang w:val="fr-FR"/>
        </w:rPr>
        <w:t xml:space="preserve">a. </w:t>
      </w:r>
      <w:r w:rsidRPr="00211E0C">
        <w:rPr>
          <w:rFonts w:asciiTheme="minorHAnsi" w:hAnsiTheme="minorHAnsi"/>
          <w:sz w:val="22"/>
          <w:szCs w:val="22"/>
          <w:lang w:val="fr-FR"/>
        </w:rPr>
        <w:tab/>
        <w:t xml:space="preserve">les dettes et la charge de la dette (intérêts); </w:t>
      </w:r>
    </w:p>
    <w:p w:rsidR="00211E0C" w:rsidRPr="00211E0C" w:rsidRDefault="00211E0C" w:rsidP="00211E0C">
      <w:pPr>
        <w:pStyle w:val="Default"/>
        <w:spacing w:before="60" w:after="60"/>
        <w:ind w:left="1134" w:hanging="425"/>
        <w:jc w:val="both"/>
        <w:rPr>
          <w:rFonts w:asciiTheme="minorHAnsi" w:hAnsiTheme="minorHAnsi"/>
          <w:sz w:val="22"/>
          <w:szCs w:val="22"/>
          <w:lang w:val="fr-FR"/>
        </w:rPr>
      </w:pPr>
      <w:r w:rsidRPr="00211E0C">
        <w:rPr>
          <w:rFonts w:asciiTheme="minorHAnsi" w:hAnsiTheme="minorHAnsi"/>
          <w:sz w:val="22"/>
          <w:szCs w:val="22"/>
          <w:lang w:val="fr-FR"/>
        </w:rPr>
        <w:t>b.</w:t>
      </w:r>
      <w:r w:rsidRPr="00211E0C">
        <w:rPr>
          <w:rFonts w:asciiTheme="minorHAnsi" w:hAnsiTheme="minorHAnsi"/>
          <w:sz w:val="22"/>
          <w:szCs w:val="22"/>
          <w:lang w:val="fr-FR"/>
        </w:rPr>
        <w:tab/>
        <w:t xml:space="preserve">les provisions pour pertes, dettes ou dettes futures éventuelles; </w:t>
      </w:r>
    </w:p>
    <w:p w:rsidR="00211E0C" w:rsidRPr="00211E0C" w:rsidRDefault="00211E0C" w:rsidP="00211E0C">
      <w:pPr>
        <w:pStyle w:val="Default"/>
        <w:spacing w:before="60" w:after="60"/>
        <w:ind w:left="1134" w:hanging="425"/>
        <w:jc w:val="both"/>
        <w:rPr>
          <w:rFonts w:asciiTheme="minorHAnsi" w:hAnsiTheme="minorHAnsi"/>
          <w:sz w:val="22"/>
          <w:szCs w:val="22"/>
          <w:lang w:val="fr-FR"/>
        </w:rPr>
      </w:pPr>
      <w:r w:rsidRPr="00211E0C">
        <w:rPr>
          <w:rFonts w:asciiTheme="minorHAnsi" w:hAnsiTheme="minorHAnsi"/>
          <w:sz w:val="22"/>
          <w:szCs w:val="22"/>
          <w:lang w:val="fr-FR"/>
        </w:rPr>
        <w:t xml:space="preserve">c. </w:t>
      </w:r>
      <w:r w:rsidRPr="00211E0C">
        <w:rPr>
          <w:rFonts w:asciiTheme="minorHAnsi" w:hAnsiTheme="minorHAnsi"/>
          <w:sz w:val="22"/>
          <w:szCs w:val="22"/>
          <w:lang w:val="fr-FR"/>
        </w:rPr>
        <w:tab/>
        <w:t xml:space="preserve">les coûts déclarés par le(s) Bénéficiaire(s) et pris en charge dans le cadre d’un autre </w:t>
      </w:r>
      <w:r>
        <w:rPr>
          <w:rFonts w:asciiTheme="minorHAnsi" w:hAnsiTheme="minorHAnsi"/>
          <w:sz w:val="22"/>
          <w:szCs w:val="22"/>
          <w:lang w:val="fr-FR"/>
        </w:rPr>
        <w:t>p</w:t>
      </w:r>
      <w:r w:rsidRPr="00211E0C">
        <w:rPr>
          <w:rFonts w:asciiTheme="minorHAnsi" w:hAnsiTheme="minorHAnsi"/>
          <w:sz w:val="22"/>
          <w:szCs w:val="22"/>
          <w:lang w:val="fr-FR"/>
        </w:rPr>
        <w:t>rojet ou d’un autre programme de travail</w:t>
      </w:r>
      <w:r w:rsidR="0091321C">
        <w:rPr>
          <w:rFonts w:asciiTheme="minorHAnsi" w:hAnsiTheme="minorHAnsi"/>
          <w:sz w:val="22"/>
          <w:szCs w:val="22"/>
          <w:lang w:val="fr-FR"/>
        </w:rPr>
        <w:t xml:space="preserve"> déjà financé ou recevant une subvention européenne (y compris FED)</w:t>
      </w:r>
      <w:r w:rsidRPr="00211E0C">
        <w:rPr>
          <w:rFonts w:asciiTheme="minorHAnsi" w:hAnsiTheme="minorHAnsi"/>
          <w:sz w:val="22"/>
          <w:szCs w:val="22"/>
          <w:lang w:val="fr-FR"/>
        </w:rPr>
        <w:t>;</w:t>
      </w:r>
    </w:p>
    <w:p w:rsidR="00211E0C" w:rsidRDefault="00211E0C" w:rsidP="00211E0C">
      <w:pPr>
        <w:pStyle w:val="Default"/>
        <w:spacing w:before="60" w:after="60"/>
        <w:ind w:left="1134" w:hanging="425"/>
        <w:jc w:val="both"/>
        <w:rPr>
          <w:rFonts w:asciiTheme="minorHAnsi" w:hAnsiTheme="minorHAnsi"/>
          <w:sz w:val="22"/>
          <w:szCs w:val="22"/>
          <w:lang w:val="fr-FR"/>
        </w:rPr>
      </w:pPr>
      <w:r w:rsidRPr="00211E0C">
        <w:rPr>
          <w:rFonts w:asciiTheme="minorHAnsi" w:hAnsiTheme="minorHAnsi"/>
          <w:sz w:val="22"/>
          <w:szCs w:val="22"/>
          <w:lang w:val="fr-FR"/>
        </w:rPr>
        <w:lastRenderedPageBreak/>
        <w:t xml:space="preserve">d. </w:t>
      </w:r>
      <w:r w:rsidRPr="00211E0C">
        <w:rPr>
          <w:rFonts w:asciiTheme="minorHAnsi" w:hAnsiTheme="minorHAnsi"/>
          <w:sz w:val="22"/>
          <w:szCs w:val="22"/>
          <w:lang w:val="fr-FR"/>
        </w:rPr>
        <w:tab/>
        <w:t xml:space="preserve">les pertes de change; </w:t>
      </w:r>
      <w:r w:rsidR="0091321C">
        <w:rPr>
          <w:rFonts w:asciiTheme="minorHAnsi" w:hAnsiTheme="minorHAnsi"/>
          <w:sz w:val="22"/>
          <w:szCs w:val="22"/>
          <w:lang w:val="fr-FR"/>
        </w:rPr>
        <w:t xml:space="preserve"> les pertes de change ne sont pas éligibles et ne seront pas compensées. En ce sens, les gains de change ne seront non plus considérés comme des revenus et ne seront déduits en fin d’exercice et ne devront être rapportés. Ces règles s’appliquent aussi aux pertes/gains provenant de la conversion de monnaie lors du rapportage</w:t>
      </w:r>
      <w:r w:rsidR="002F38AA">
        <w:rPr>
          <w:rFonts w:asciiTheme="minorHAnsi" w:hAnsiTheme="minorHAnsi"/>
          <w:sz w:val="22"/>
          <w:szCs w:val="22"/>
          <w:lang w:val="fr-FR"/>
        </w:rPr>
        <w:t>, ainsi</w:t>
      </w:r>
      <w:r w:rsidR="0091321C">
        <w:rPr>
          <w:rFonts w:asciiTheme="minorHAnsi" w:hAnsiTheme="minorHAnsi"/>
          <w:sz w:val="22"/>
          <w:szCs w:val="22"/>
          <w:lang w:val="fr-FR"/>
        </w:rPr>
        <w:t xml:space="preserve"> </w:t>
      </w:r>
      <w:r w:rsidR="002F38AA">
        <w:rPr>
          <w:rFonts w:asciiTheme="minorHAnsi" w:hAnsiTheme="minorHAnsi"/>
          <w:sz w:val="22"/>
          <w:szCs w:val="22"/>
          <w:lang w:val="fr-FR"/>
        </w:rPr>
        <w:t>que qu’à</w:t>
      </w:r>
      <w:r w:rsidR="0091321C">
        <w:rPr>
          <w:rFonts w:asciiTheme="minorHAnsi" w:hAnsiTheme="minorHAnsi"/>
          <w:sz w:val="22"/>
          <w:szCs w:val="22"/>
          <w:lang w:val="fr-FR"/>
        </w:rPr>
        <w:t xml:space="preserve"> ceux relatifs aux conversions entre monnaie de comptabilité et autre monnaies ;   </w:t>
      </w:r>
    </w:p>
    <w:p w:rsidR="002F38AA" w:rsidRDefault="002F38AA" w:rsidP="00211E0C">
      <w:pPr>
        <w:pStyle w:val="Default"/>
        <w:spacing w:before="60" w:after="60"/>
        <w:ind w:left="1134" w:hanging="425"/>
        <w:jc w:val="both"/>
        <w:rPr>
          <w:rFonts w:asciiTheme="minorHAnsi" w:hAnsiTheme="minorHAnsi"/>
          <w:sz w:val="22"/>
          <w:szCs w:val="22"/>
          <w:lang w:val="fr-FR"/>
        </w:rPr>
      </w:pPr>
      <w:r>
        <w:rPr>
          <w:rFonts w:asciiTheme="minorHAnsi" w:hAnsiTheme="minorHAnsi"/>
          <w:sz w:val="22"/>
          <w:szCs w:val="22"/>
          <w:lang w:val="fr-FR"/>
        </w:rPr>
        <w:t xml:space="preserve">e. </w:t>
      </w:r>
      <w:r>
        <w:rPr>
          <w:rFonts w:asciiTheme="minorHAnsi" w:hAnsiTheme="minorHAnsi"/>
          <w:sz w:val="22"/>
          <w:szCs w:val="22"/>
          <w:lang w:val="fr-FR"/>
        </w:rPr>
        <w:tab/>
        <w:t>l</w:t>
      </w:r>
      <w:r w:rsidRPr="002F38AA">
        <w:rPr>
          <w:rFonts w:asciiTheme="minorHAnsi" w:hAnsiTheme="minorHAnsi"/>
          <w:sz w:val="22"/>
          <w:szCs w:val="22"/>
          <w:lang w:val="fr-FR"/>
        </w:rPr>
        <w:t>es crédits à des tiers,</w:t>
      </w:r>
    </w:p>
    <w:p w:rsidR="0091321C" w:rsidRPr="00211E0C" w:rsidRDefault="002F38AA" w:rsidP="00211E0C">
      <w:pPr>
        <w:pStyle w:val="Default"/>
        <w:spacing w:before="60" w:after="60"/>
        <w:ind w:left="1134" w:hanging="425"/>
        <w:jc w:val="both"/>
        <w:rPr>
          <w:rFonts w:asciiTheme="minorHAnsi" w:hAnsiTheme="minorHAnsi"/>
          <w:sz w:val="22"/>
          <w:szCs w:val="22"/>
          <w:lang w:val="fr-FR"/>
        </w:rPr>
      </w:pPr>
      <w:r>
        <w:rPr>
          <w:rFonts w:asciiTheme="minorHAnsi" w:hAnsiTheme="minorHAnsi"/>
          <w:sz w:val="22"/>
          <w:szCs w:val="22"/>
          <w:lang w:val="fr-FR"/>
        </w:rPr>
        <w:t>f</w:t>
      </w:r>
      <w:r w:rsidR="0091321C">
        <w:rPr>
          <w:rFonts w:asciiTheme="minorHAnsi" w:hAnsiTheme="minorHAnsi"/>
          <w:sz w:val="22"/>
          <w:szCs w:val="22"/>
          <w:lang w:val="fr-FR"/>
        </w:rPr>
        <w:t>.</w:t>
      </w:r>
      <w:r w:rsidR="0091321C">
        <w:rPr>
          <w:rFonts w:asciiTheme="minorHAnsi" w:hAnsiTheme="minorHAnsi"/>
          <w:sz w:val="22"/>
          <w:szCs w:val="22"/>
          <w:lang w:val="fr-FR"/>
        </w:rPr>
        <w:tab/>
        <w:t xml:space="preserve">les </w:t>
      </w:r>
      <w:r w:rsidR="001F62A5">
        <w:rPr>
          <w:rFonts w:asciiTheme="minorHAnsi" w:hAnsiTheme="minorHAnsi"/>
          <w:sz w:val="22"/>
          <w:szCs w:val="22"/>
          <w:lang w:val="fr-FR"/>
        </w:rPr>
        <w:t>contributions en nature y compris de tierces parties et travail volontaire ;</w:t>
      </w:r>
      <w:r w:rsidR="0091321C">
        <w:rPr>
          <w:rFonts w:asciiTheme="minorHAnsi" w:hAnsiTheme="minorHAnsi"/>
          <w:sz w:val="22"/>
          <w:szCs w:val="22"/>
          <w:lang w:val="fr-FR"/>
        </w:rPr>
        <w:t xml:space="preserve">   </w:t>
      </w:r>
    </w:p>
    <w:p w:rsidR="00211E0C" w:rsidRPr="00211E0C" w:rsidRDefault="002F38AA" w:rsidP="00341469">
      <w:pPr>
        <w:pStyle w:val="Default"/>
        <w:spacing w:before="60" w:after="60"/>
        <w:ind w:left="1134" w:hanging="425"/>
        <w:jc w:val="both"/>
        <w:rPr>
          <w:rFonts w:asciiTheme="minorHAnsi" w:hAnsiTheme="minorHAnsi"/>
          <w:sz w:val="22"/>
          <w:szCs w:val="22"/>
          <w:lang w:val="fr-FR"/>
        </w:rPr>
      </w:pPr>
      <w:r>
        <w:rPr>
          <w:rFonts w:asciiTheme="minorHAnsi" w:hAnsiTheme="minorHAnsi"/>
          <w:sz w:val="22"/>
          <w:szCs w:val="22"/>
          <w:lang w:val="fr-FR"/>
        </w:rPr>
        <w:t>g</w:t>
      </w:r>
      <w:r w:rsidR="00211E0C" w:rsidRPr="00211E0C">
        <w:rPr>
          <w:rFonts w:asciiTheme="minorHAnsi" w:hAnsiTheme="minorHAnsi"/>
          <w:sz w:val="22"/>
          <w:szCs w:val="22"/>
          <w:lang w:val="fr-FR"/>
        </w:rPr>
        <w:t xml:space="preserve">. </w:t>
      </w:r>
      <w:r w:rsidR="00211E0C" w:rsidRPr="00211E0C">
        <w:rPr>
          <w:rFonts w:asciiTheme="minorHAnsi" w:hAnsiTheme="minorHAnsi"/>
          <w:sz w:val="22"/>
          <w:szCs w:val="22"/>
          <w:lang w:val="fr-FR"/>
        </w:rPr>
        <w:tab/>
      </w:r>
      <w:r w:rsidR="001F62A5">
        <w:rPr>
          <w:rFonts w:asciiTheme="minorHAnsi" w:hAnsiTheme="minorHAnsi"/>
          <w:sz w:val="22"/>
          <w:szCs w:val="22"/>
          <w:lang w:val="fr-FR"/>
        </w:rPr>
        <w:t>les dépenses excessives  ou imprudentes (y compris dépenses non nécessaires et inutiles) ;</w:t>
      </w:r>
      <w:r w:rsidR="00211E0C" w:rsidRPr="00211E0C">
        <w:rPr>
          <w:rFonts w:asciiTheme="minorHAnsi" w:hAnsiTheme="minorHAnsi"/>
          <w:sz w:val="22"/>
          <w:szCs w:val="22"/>
          <w:lang w:val="fr-FR"/>
        </w:rPr>
        <w:t xml:space="preserve"> </w:t>
      </w:r>
    </w:p>
    <w:p w:rsidR="001F62A5" w:rsidRDefault="002F38AA" w:rsidP="00341469">
      <w:pPr>
        <w:pStyle w:val="Default"/>
        <w:spacing w:before="60" w:after="60"/>
        <w:ind w:left="1134" w:hanging="425"/>
        <w:jc w:val="both"/>
        <w:rPr>
          <w:rFonts w:asciiTheme="minorHAnsi" w:hAnsiTheme="minorHAnsi"/>
          <w:sz w:val="22"/>
          <w:szCs w:val="22"/>
          <w:lang w:val="fr-FR"/>
        </w:rPr>
      </w:pPr>
      <w:proofErr w:type="gramStart"/>
      <w:r>
        <w:rPr>
          <w:rFonts w:asciiTheme="minorHAnsi" w:hAnsiTheme="minorHAnsi"/>
          <w:sz w:val="22"/>
          <w:szCs w:val="22"/>
          <w:lang w:val="fr-FR"/>
        </w:rPr>
        <w:t>h</w:t>
      </w:r>
      <w:proofErr w:type="gramEnd"/>
      <w:r w:rsidR="00211E0C" w:rsidRPr="00211E0C">
        <w:rPr>
          <w:rFonts w:asciiTheme="minorHAnsi" w:hAnsiTheme="minorHAnsi"/>
          <w:sz w:val="22"/>
          <w:szCs w:val="22"/>
          <w:lang w:val="fr-FR"/>
        </w:rPr>
        <w:t xml:space="preserve">. </w:t>
      </w:r>
      <w:r w:rsidR="00211E0C" w:rsidRPr="00211E0C">
        <w:rPr>
          <w:rFonts w:asciiTheme="minorHAnsi" w:hAnsiTheme="minorHAnsi"/>
          <w:sz w:val="22"/>
          <w:szCs w:val="22"/>
          <w:lang w:val="fr-FR"/>
        </w:rPr>
        <w:tab/>
        <w:t xml:space="preserve">les coûts </w:t>
      </w:r>
      <w:r w:rsidR="001F62A5">
        <w:rPr>
          <w:rFonts w:asciiTheme="minorHAnsi" w:hAnsiTheme="minorHAnsi"/>
          <w:sz w:val="22"/>
          <w:szCs w:val="22"/>
          <w:lang w:val="fr-FR"/>
        </w:rPr>
        <w:t xml:space="preserve">inhérents à la préparation de la proposition de projet ou la phase </w:t>
      </w:r>
      <w:r>
        <w:rPr>
          <w:rFonts w:asciiTheme="minorHAnsi" w:hAnsiTheme="minorHAnsi"/>
          <w:sz w:val="22"/>
          <w:szCs w:val="22"/>
          <w:lang w:val="fr-FR"/>
        </w:rPr>
        <w:t xml:space="preserve">de </w:t>
      </w:r>
      <w:r w:rsidR="001F62A5">
        <w:rPr>
          <w:rFonts w:asciiTheme="minorHAnsi" w:hAnsiTheme="minorHAnsi"/>
          <w:sz w:val="22"/>
          <w:szCs w:val="22"/>
          <w:lang w:val="fr-FR"/>
        </w:rPr>
        <w:t>revue du projet) ;</w:t>
      </w:r>
    </w:p>
    <w:p w:rsidR="001F62A5" w:rsidRDefault="001F62A5" w:rsidP="00341469">
      <w:pPr>
        <w:pStyle w:val="Default"/>
        <w:spacing w:before="60" w:after="60"/>
        <w:ind w:left="1134" w:hanging="425"/>
        <w:jc w:val="both"/>
        <w:rPr>
          <w:rFonts w:asciiTheme="minorHAnsi" w:hAnsiTheme="minorHAnsi"/>
          <w:sz w:val="22"/>
          <w:szCs w:val="22"/>
          <w:lang w:val="fr-FR"/>
        </w:rPr>
      </w:pPr>
      <w:r>
        <w:rPr>
          <w:rFonts w:asciiTheme="minorHAnsi" w:hAnsiTheme="minorHAnsi"/>
          <w:sz w:val="22"/>
          <w:szCs w:val="22"/>
          <w:lang w:val="fr-FR"/>
        </w:rPr>
        <w:t>h.</w:t>
      </w:r>
      <w:r>
        <w:rPr>
          <w:rFonts w:asciiTheme="minorHAnsi" w:hAnsiTheme="minorHAnsi"/>
          <w:sz w:val="22"/>
          <w:szCs w:val="22"/>
          <w:lang w:val="fr-FR"/>
        </w:rPr>
        <w:tab/>
        <w:t>la TVA qui peut être récupérée.</w:t>
      </w:r>
    </w:p>
    <w:p w:rsidR="00CD40E0" w:rsidRPr="00D865CA" w:rsidRDefault="00CD40E0" w:rsidP="0091321C">
      <w:pPr>
        <w:pStyle w:val="Default"/>
        <w:spacing w:before="60" w:after="60"/>
        <w:ind w:left="1417"/>
        <w:jc w:val="both"/>
        <w:rPr>
          <w:rFonts w:asciiTheme="minorHAnsi" w:hAnsiTheme="minorHAnsi"/>
          <w:sz w:val="22"/>
          <w:szCs w:val="22"/>
          <w:lang w:val="fr-FR"/>
        </w:rPr>
      </w:pPr>
    </w:p>
    <w:p w:rsidR="00CD40E0" w:rsidRPr="005B41A0" w:rsidRDefault="005B41A0">
      <w:pPr>
        <w:spacing w:after="0" w:line="240" w:lineRule="auto"/>
        <w:ind w:left="567"/>
        <w:jc w:val="both"/>
        <w:rPr>
          <w:szCs w:val="23"/>
          <w:lang w:val="fr-FR"/>
        </w:rPr>
      </w:pPr>
      <w:r w:rsidRPr="005B41A0">
        <w:rPr>
          <w:szCs w:val="23"/>
          <w:lang w:val="fr-FR"/>
        </w:rPr>
        <w:t>Afin de réclamer la TVA, le bénéficiaire doit présenter une déclaration</w:t>
      </w:r>
      <w:r>
        <w:rPr>
          <w:szCs w:val="23"/>
          <w:lang w:val="fr-FR"/>
        </w:rPr>
        <w:t xml:space="preserve"> de la part des autorités nationales en charge des impôts certifiant que le bénéficiaire ne peut récupérer la TVA</w:t>
      </w:r>
      <w:r w:rsidR="000006BD">
        <w:rPr>
          <w:szCs w:val="23"/>
          <w:lang w:val="fr-FR"/>
        </w:rPr>
        <w:t xml:space="preserve"> </w:t>
      </w:r>
      <w:r>
        <w:rPr>
          <w:szCs w:val="23"/>
          <w:lang w:val="fr-FR"/>
        </w:rPr>
        <w:t>(totalement ou partiellement)</w:t>
      </w:r>
      <w:r w:rsidR="00C214A5" w:rsidRPr="005B41A0">
        <w:rPr>
          <w:szCs w:val="23"/>
          <w:lang w:val="fr-FR"/>
        </w:rPr>
        <w:t xml:space="preserve">. </w:t>
      </w:r>
      <w:r w:rsidRPr="005B41A0">
        <w:rPr>
          <w:szCs w:val="23"/>
          <w:lang w:val="fr-FR"/>
        </w:rPr>
        <w:t>Cette déclaration doit être gardée précautionneusement dans les documents du</w:t>
      </w:r>
      <w:r>
        <w:rPr>
          <w:szCs w:val="23"/>
          <w:lang w:val="fr-FR"/>
        </w:rPr>
        <w:t xml:space="preserve"> projet</w:t>
      </w:r>
      <w:r w:rsidR="00C214A5" w:rsidRPr="005B41A0">
        <w:rPr>
          <w:szCs w:val="23"/>
          <w:lang w:val="fr-FR"/>
        </w:rPr>
        <w:t xml:space="preserve">. </w:t>
      </w:r>
      <w:r w:rsidRPr="005B41A0">
        <w:rPr>
          <w:szCs w:val="23"/>
          <w:lang w:val="fr-FR"/>
        </w:rPr>
        <w:t xml:space="preserve">Si les </w:t>
      </w:r>
      <w:r w:rsidR="000006BD" w:rsidRPr="005B41A0">
        <w:rPr>
          <w:szCs w:val="23"/>
          <w:lang w:val="fr-FR"/>
        </w:rPr>
        <w:t>autorités</w:t>
      </w:r>
      <w:r w:rsidRPr="005B41A0">
        <w:rPr>
          <w:szCs w:val="23"/>
          <w:lang w:val="fr-FR"/>
        </w:rPr>
        <w:t xml:space="preserve"> nationales ne peuvent fournir un tel certificat, le rappo</w:t>
      </w:r>
      <w:r>
        <w:rPr>
          <w:szCs w:val="23"/>
          <w:lang w:val="fr-FR"/>
        </w:rPr>
        <w:t>rt d</w:t>
      </w:r>
      <w:r w:rsidRPr="005B41A0">
        <w:rPr>
          <w:szCs w:val="23"/>
          <w:lang w:val="fr-FR"/>
        </w:rPr>
        <w:t>’audit</w:t>
      </w:r>
      <w:r>
        <w:rPr>
          <w:szCs w:val="23"/>
          <w:lang w:val="fr-FR"/>
        </w:rPr>
        <w:t xml:space="preserve"> peut certifier que la TVA ne peut être récupérée. </w:t>
      </w:r>
      <w:r w:rsidRPr="005B41A0">
        <w:rPr>
          <w:szCs w:val="23"/>
          <w:lang w:val="fr-FR"/>
        </w:rPr>
        <w:t xml:space="preserve">Taxes et TVA sont souvent sources d’inéligibilité des coûts, </w:t>
      </w:r>
      <w:proofErr w:type="gramStart"/>
      <w:r w:rsidR="000006BD" w:rsidRPr="005B41A0">
        <w:rPr>
          <w:szCs w:val="23"/>
          <w:lang w:val="fr-FR"/>
        </w:rPr>
        <w:t>un</w:t>
      </w:r>
      <w:r w:rsidR="000006BD">
        <w:rPr>
          <w:szCs w:val="23"/>
          <w:lang w:val="fr-FR"/>
        </w:rPr>
        <w:t>e attention</w:t>
      </w:r>
      <w:r w:rsidR="000D6E1B">
        <w:rPr>
          <w:szCs w:val="23"/>
          <w:lang w:val="fr-FR"/>
        </w:rPr>
        <w:t xml:space="preserve"> </w:t>
      </w:r>
      <w:r w:rsidR="000006BD">
        <w:rPr>
          <w:szCs w:val="23"/>
          <w:lang w:val="fr-FR"/>
        </w:rPr>
        <w:t>particulière</w:t>
      </w:r>
      <w:proofErr w:type="gramEnd"/>
      <w:r w:rsidRPr="005B41A0">
        <w:rPr>
          <w:szCs w:val="23"/>
          <w:lang w:val="fr-FR"/>
        </w:rPr>
        <w:t xml:space="preserve"> doit par conséquent </w:t>
      </w:r>
      <w:r>
        <w:rPr>
          <w:szCs w:val="23"/>
          <w:lang w:val="fr-FR"/>
        </w:rPr>
        <w:t>ê</w:t>
      </w:r>
      <w:r w:rsidRPr="005B41A0">
        <w:rPr>
          <w:szCs w:val="23"/>
          <w:lang w:val="fr-FR"/>
        </w:rPr>
        <w:t>tre apportée au sta</w:t>
      </w:r>
      <w:r>
        <w:rPr>
          <w:szCs w:val="23"/>
          <w:lang w:val="fr-FR"/>
        </w:rPr>
        <w:t>tut et traitement des taxes et TVA.</w:t>
      </w:r>
    </w:p>
    <w:p w:rsidR="00CD40E0" w:rsidRPr="00D865CA" w:rsidRDefault="000006BD">
      <w:pPr>
        <w:pStyle w:val="Heading1"/>
        <w:numPr>
          <w:ilvl w:val="0"/>
          <w:numId w:val="4"/>
        </w:numPr>
        <w:ind w:left="851" w:hanging="851"/>
        <w:rPr>
          <w:lang w:val="fr-FR"/>
        </w:rPr>
      </w:pPr>
      <w:r>
        <w:rPr>
          <w:lang w:val="fr-FR"/>
        </w:rPr>
        <w:t xml:space="preserve">Coûts </w:t>
      </w:r>
      <w:r w:rsidR="0039119F">
        <w:rPr>
          <w:lang w:val="fr-FR"/>
        </w:rPr>
        <w:t>d</w:t>
      </w:r>
      <w:r w:rsidR="00C214A5" w:rsidRPr="00D865CA">
        <w:rPr>
          <w:lang w:val="fr-FR"/>
        </w:rPr>
        <w:t>irect</w:t>
      </w:r>
      <w:r>
        <w:rPr>
          <w:lang w:val="fr-FR"/>
        </w:rPr>
        <w:t>s et</w:t>
      </w:r>
      <w:r w:rsidR="00C214A5" w:rsidRPr="00D865CA">
        <w:rPr>
          <w:lang w:val="fr-FR"/>
        </w:rPr>
        <w:t xml:space="preserve"> indirect</w:t>
      </w:r>
      <w:r>
        <w:rPr>
          <w:lang w:val="fr-FR"/>
        </w:rPr>
        <w:t>s</w:t>
      </w:r>
    </w:p>
    <w:p w:rsidR="00CD40E0" w:rsidRPr="008D0C1E" w:rsidRDefault="008D0C1E" w:rsidP="008D0C1E">
      <w:pPr>
        <w:pStyle w:val="ListParagraph"/>
        <w:numPr>
          <w:ilvl w:val="1"/>
          <w:numId w:val="1"/>
        </w:numPr>
        <w:spacing w:after="0" w:line="240" w:lineRule="auto"/>
        <w:ind w:hanging="447"/>
        <w:jc w:val="both"/>
        <w:rPr>
          <w:b/>
          <w:bCs/>
          <w:sz w:val="23"/>
          <w:szCs w:val="23"/>
          <w:lang w:val="fr-FR"/>
        </w:rPr>
      </w:pPr>
      <w:r w:rsidRPr="008D0C1E">
        <w:rPr>
          <w:b/>
          <w:bCs/>
          <w:sz w:val="23"/>
          <w:szCs w:val="23"/>
          <w:lang w:val="fr-FR"/>
        </w:rPr>
        <w:t>Les coûts directs éligibles</w:t>
      </w:r>
      <w:r w:rsidR="00E73038">
        <w:rPr>
          <w:b/>
          <w:bCs/>
          <w:sz w:val="23"/>
          <w:szCs w:val="23"/>
          <w:lang w:val="fr-FR"/>
        </w:rPr>
        <w:t> :</w:t>
      </w:r>
      <w:r w:rsidRPr="008D0C1E">
        <w:rPr>
          <w:b/>
          <w:bCs/>
          <w:sz w:val="23"/>
          <w:szCs w:val="23"/>
          <w:lang w:val="fr-FR"/>
        </w:rPr>
        <w:t xml:space="preserve"> </w:t>
      </w:r>
      <w:r w:rsidRPr="008D0C1E">
        <w:rPr>
          <w:bCs/>
          <w:sz w:val="23"/>
          <w:szCs w:val="23"/>
          <w:lang w:val="fr-FR"/>
        </w:rPr>
        <w:t>sont les coûts d’action spécifiques</w:t>
      </w:r>
      <w:r>
        <w:rPr>
          <w:bCs/>
          <w:sz w:val="23"/>
          <w:szCs w:val="23"/>
          <w:lang w:val="fr-FR"/>
        </w:rPr>
        <w:t>,</w:t>
      </w:r>
      <w:r w:rsidRPr="008D0C1E">
        <w:rPr>
          <w:bCs/>
          <w:sz w:val="23"/>
          <w:szCs w:val="23"/>
          <w:lang w:val="fr-FR"/>
        </w:rPr>
        <w:t xml:space="preserve"> directement liés à la mise en œuvre et </w:t>
      </w:r>
      <w:r>
        <w:rPr>
          <w:bCs/>
          <w:sz w:val="23"/>
          <w:szCs w:val="23"/>
          <w:lang w:val="fr-FR"/>
        </w:rPr>
        <w:t xml:space="preserve">la </w:t>
      </w:r>
      <w:r w:rsidRPr="008D0C1E">
        <w:rPr>
          <w:bCs/>
          <w:sz w:val="23"/>
          <w:szCs w:val="23"/>
          <w:lang w:val="fr-FR"/>
        </w:rPr>
        <w:t>performance du projet</w:t>
      </w:r>
      <w:r>
        <w:rPr>
          <w:bCs/>
          <w:sz w:val="23"/>
          <w:szCs w:val="23"/>
          <w:lang w:val="fr-FR"/>
        </w:rPr>
        <w:t>,</w:t>
      </w:r>
      <w:r w:rsidRPr="008D0C1E">
        <w:rPr>
          <w:bCs/>
          <w:sz w:val="23"/>
          <w:szCs w:val="23"/>
          <w:lang w:val="fr-FR"/>
        </w:rPr>
        <w:t xml:space="preserve"> et qui </w:t>
      </w:r>
      <w:r>
        <w:rPr>
          <w:bCs/>
          <w:sz w:val="23"/>
          <w:szCs w:val="23"/>
          <w:lang w:val="fr-FR"/>
        </w:rPr>
        <w:t xml:space="preserve">sont </w:t>
      </w:r>
      <w:r w:rsidRPr="008D0C1E">
        <w:rPr>
          <w:bCs/>
          <w:sz w:val="23"/>
          <w:szCs w:val="23"/>
          <w:lang w:val="fr-FR"/>
        </w:rPr>
        <w:t xml:space="preserve">directement </w:t>
      </w:r>
      <w:r>
        <w:rPr>
          <w:bCs/>
          <w:sz w:val="23"/>
          <w:szCs w:val="23"/>
          <w:lang w:val="fr-FR"/>
        </w:rPr>
        <w:t>imputables</w:t>
      </w:r>
      <w:r w:rsidRPr="008D0C1E">
        <w:rPr>
          <w:bCs/>
          <w:sz w:val="23"/>
          <w:szCs w:val="23"/>
          <w:lang w:val="fr-FR"/>
        </w:rPr>
        <w:t xml:space="preserve"> au projet et sa mise en œuvre. Les coûts direct</w:t>
      </w:r>
      <w:r>
        <w:rPr>
          <w:bCs/>
          <w:sz w:val="23"/>
          <w:szCs w:val="23"/>
          <w:lang w:val="fr-FR"/>
        </w:rPr>
        <w:t>s</w:t>
      </w:r>
      <w:r w:rsidRPr="008D0C1E">
        <w:rPr>
          <w:bCs/>
          <w:sz w:val="23"/>
          <w:szCs w:val="23"/>
          <w:lang w:val="fr-FR"/>
        </w:rPr>
        <w:t xml:space="preserve"> sont identifiables et vérifiables</w:t>
      </w:r>
      <w:r>
        <w:rPr>
          <w:bCs/>
          <w:sz w:val="23"/>
          <w:szCs w:val="23"/>
          <w:lang w:val="fr-FR"/>
        </w:rPr>
        <w:t xml:space="preserve"> et</w:t>
      </w:r>
      <w:r w:rsidRPr="008D0C1E">
        <w:rPr>
          <w:bCs/>
          <w:sz w:val="23"/>
          <w:szCs w:val="23"/>
          <w:lang w:val="fr-FR"/>
        </w:rPr>
        <w:t xml:space="preserve"> des documents peuvent être fournis comme preuve. Ce sont les dépenses </w:t>
      </w:r>
      <w:r>
        <w:rPr>
          <w:bCs/>
          <w:sz w:val="23"/>
          <w:szCs w:val="23"/>
          <w:lang w:val="fr-FR"/>
        </w:rPr>
        <w:t>induites</w:t>
      </w:r>
      <w:r w:rsidR="00E65312">
        <w:rPr>
          <w:bCs/>
          <w:sz w:val="23"/>
          <w:szCs w:val="23"/>
          <w:lang w:val="fr-FR"/>
        </w:rPr>
        <w:t xml:space="preserve">, </w:t>
      </w:r>
      <w:r w:rsidRPr="008D0C1E">
        <w:rPr>
          <w:bCs/>
          <w:sz w:val="23"/>
          <w:szCs w:val="23"/>
          <w:lang w:val="fr-FR"/>
        </w:rPr>
        <w:t xml:space="preserve">directement liées à la mise en œuvre du projet </w:t>
      </w:r>
      <w:r w:rsidR="00E65312">
        <w:rPr>
          <w:bCs/>
          <w:sz w:val="23"/>
          <w:szCs w:val="23"/>
          <w:lang w:val="fr-FR"/>
        </w:rPr>
        <w:t xml:space="preserve">comme </w:t>
      </w:r>
      <w:r>
        <w:rPr>
          <w:bCs/>
          <w:sz w:val="23"/>
          <w:szCs w:val="23"/>
          <w:lang w:val="fr-FR"/>
        </w:rPr>
        <w:t>c</w:t>
      </w:r>
      <w:r w:rsidRPr="008D0C1E">
        <w:rPr>
          <w:bCs/>
          <w:sz w:val="23"/>
          <w:szCs w:val="23"/>
          <w:lang w:val="fr-FR"/>
        </w:rPr>
        <w:t xml:space="preserve">onséquence de </w:t>
      </w:r>
      <w:r w:rsidR="00E65312">
        <w:rPr>
          <w:bCs/>
          <w:sz w:val="23"/>
          <w:szCs w:val="23"/>
          <w:lang w:val="fr-FR"/>
        </w:rPr>
        <w:t>cette seule</w:t>
      </w:r>
      <w:r w:rsidR="00E65312" w:rsidRPr="008D0C1E">
        <w:rPr>
          <w:bCs/>
          <w:sz w:val="23"/>
          <w:szCs w:val="23"/>
          <w:lang w:val="fr-FR"/>
        </w:rPr>
        <w:t xml:space="preserve"> </w:t>
      </w:r>
      <w:r w:rsidRPr="008D0C1E">
        <w:rPr>
          <w:bCs/>
          <w:sz w:val="23"/>
          <w:szCs w:val="23"/>
          <w:lang w:val="fr-FR"/>
        </w:rPr>
        <w:t>mise en œ</w:t>
      </w:r>
      <w:r>
        <w:rPr>
          <w:bCs/>
          <w:sz w:val="23"/>
          <w:szCs w:val="23"/>
          <w:lang w:val="fr-FR"/>
        </w:rPr>
        <w:t>u</w:t>
      </w:r>
      <w:r w:rsidRPr="008D0C1E">
        <w:rPr>
          <w:bCs/>
          <w:sz w:val="23"/>
          <w:szCs w:val="23"/>
          <w:lang w:val="fr-FR"/>
        </w:rPr>
        <w:t>vre.</w:t>
      </w:r>
    </w:p>
    <w:p w:rsidR="00CD40E0" w:rsidRPr="00D865CA" w:rsidRDefault="00CD40E0">
      <w:pPr>
        <w:pStyle w:val="ListParagraph"/>
        <w:spacing w:after="0" w:line="240" w:lineRule="auto"/>
        <w:ind w:left="1440"/>
        <w:jc w:val="both"/>
        <w:rPr>
          <w:rFonts w:cs="Times New Roman"/>
          <w:color w:val="000000"/>
          <w:lang w:val="fr-FR"/>
        </w:rPr>
      </w:pPr>
    </w:p>
    <w:p w:rsidR="00CD40E0" w:rsidRPr="00F0370F" w:rsidRDefault="00E65312">
      <w:pPr>
        <w:pStyle w:val="ListParagraph"/>
        <w:numPr>
          <w:ilvl w:val="1"/>
          <w:numId w:val="1"/>
        </w:numPr>
        <w:spacing w:after="0" w:line="240" w:lineRule="auto"/>
        <w:ind w:hanging="447"/>
        <w:jc w:val="both"/>
        <w:rPr>
          <w:rFonts w:cs="Times New Roman"/>
          <w:color w:val="000000"/>
          <w:lang w:val="fr-FR"/>
        </w:rPr>
      </w:pPr>
      <w:r w:rsidRPr="00F0370F">
        <w:rPr>
          <w:rFonts w:cs="Times New Roman"/>
          <w:b/>
          <w:color w:val="000000"/>
          <w:lang w:val="fr-FR"/>
        </w:rPr>
        <w:t>Les coûts indirects é</w:t>
      </w:r>
      <w:r w:rsidR="00E73038">
        <w:rPr>
          <w:rFonts w:cs="Times New Roman"/>
          <w:b/>
          <w:color w:val="000000"/>
          <w:lang w:val="fr-FR"/>
        </w:rPr>
        <w:t>ligibles :</w:t>
      </w:r>
      <w:r w:rsidR="00C214A5" w:rsidRPr="00F0370F">
        <w:rPr>
          <w:rFonts w:cs="Times New Roman"/>
          <w:color w:val="000000"/>
          <w:lang w:val="fr-FR"/>
        </w:rPr>
        <w:t xml:space="preserve"> </w:t>
      </w:r>
      <w:r w:rsidR="00F0370F" w:rsidRPr="00F0370F">
        <w:rPr>
          <w:rFonts w:cs="Times New Roman"/>
          <w:color w:val="000000"/>
          <w:lang w:val="fr-FR"/>
        </w:rPr>
        <w:t xml:space="preserve">sont les coûts qui ne peuvent </w:t>
      </w:r>
      <w:r w:rsidR="00F0370F">
        <w:rPr>
          <w:rFonts w:cs="Times New Roman"/>
          <w:color w:val="000000"/>
          <w:lang w:val="fr-FR"/>
        </w:rPr>
        <w:t xml:space="preserve">être identifiés comme coûts d’action spécifiques directement liés à la mise en œuvre et performance du projet. </w:t>
      </w:r>
      <w:r w:rsidR="00F0370F" w:rsidRPr="00F0370F">
        <w:rPr>
          <w:rFonts w:cs="Times New Roman"/>
          <w:color w:val="000000"/>
          <w:lang w:val="fr-FR"/>
        </w:rPr>
        <w:t>Ces coûts ne peuvent recouvrir des coûts directs éligibles compris dans les autres lignes du budget.</w:t>
      </w:r>
      <w:r w:rsidR="00F0370F">
        <w:rPr>
          <w:rFonts w:cs="Times New Roman"/>
          <w:color w:val="000000"/>
          <w:lang w:val="fr-FR"/>
        </w:rPr>
        <w:t xml:space="preserve"> </w:t>
      </w:r>
      <w:r w:rsidR="00F0370F" w:rsidRPr="00F0370F">
        <w:rPr>
          <w:rFonts w:cs="Times New Roman"/>
          <w:color w:val="000000"/>
          <w:lang w:val="fr-FR"/>
        </w:rPr>
        <w:t>Ils représentent généralement une faible portion des autres frais</w:t>
      </w:r>
      <w:r w:rsidR="00F0370F">
        <w:rPr>
          <w:rFonts w:cs="Times New Roman"/>
          <w:color w:val="000000"/>
          <w:lang w:val="fr-FR"/>
        </w:rPr>
        <w:t xml:space="preserve"> généraux. </w:t>
      </w:r>
      <w:r w:rsidR="00F0370F" w:rsidRPr="00F0370F">
        <w:rPr>
          <w:rFonts w:cs="Times New Roman"/>
          <w:color w:val="000000"/>
          <w:lang w:val="fr-FR"/>
        </w:rPr>
        <w:t>Les frais généraux correspondent aux frais de structure, d’administration, technique et logistique</w:t>
      </w:r>
      <w:r w:rsidR="003B357C">
        <w:rPr>
          <w:rFonts w:cs="Times New Roman"/>
          <w:color w:val="000000"/>
          <w:lang w:val="fr-FR"/>
        </w:rPr>
        <w:t>,</w:t>
      </w:r>
      <w:r w:rsidR="00F0370F" w:rsidRPr="00F0370F">
        <w:rPr>
          <w:rFonts w:cs="Times New Roman"/>
          <w:color w:val="000000"/>
          <w:lang w:val="fr-FR"/>
        </w:rPr>
        <w:t xml:space="preserve"> qui </w:t>
      </w:r>
      <w:proofErr w:type="gramStart"/>
      <w:r w:rsidR="00F0370F" w:rsidRPr="00F0370F">
        <w:rPr>
          <w:rFonts w:cs="Times New Roman"/>
          <w:color w:val="000000"/>
          <w:lang w:val="fr-FR"/>
        </w:rPr>
        <w:t>sont</w:t>
      </w:r>
      <w:proofErr w:type="gramEnd"/>
      <w:r w:rsidR="00F0370F" w:rsidRPr="00F0370F">
        <w:rPr>
          <w:rFonts w:cs="Times New Roman"/>
          <w:color w:val="000000"/>
          <w:lang w:val="fr-FR"/>
        </w:rPr>
        <w:t xml:space="preserve"> transverses aux activités de l’organisation</w:t>
      </w:r>
      <w:r w:rsidR="00F0370F">
        <w:rPr>
          <w:rFonts w:cs="Times New Roman"/>
          <w:color w:val="000000"/>
          <w:lang w:val="fr-FR"/>
        </w:rPr>
        <w:t>.</w:t>
      </w:r>
    </w:p>
    <w:p w:rsidR="00CD40E0" w:rsidRPr="00D865CA" w:rsidRDefault="00C214A5">
      <w:pPr>
        <w:pStyle w:val="Heading1"/>
        <w:numPr>
          <w:ilvl w:val="0"/>
          <w:numId w:val="4"/>
        </w:numPr>
        <w:ind w:left="851" w:hanging="851"/>
        <w:rPr>
          <w:lang w:val="fr-FR"/>
        </w:rPr>
      </w:pPr>
      <w:r w:rsidRPr="00D865CA">
        <w:rPr>
          <w:lang w:val="fr-FR"/>
        </w:rPr>
        <w:t>C</w:t>
      </w:r>
      <w:r w:rsidR="00F0370F">
        <w:rPr>
          <w:lang w:val="fr-FR"/>
        </w:rPr>
        <w:t>atégories de coûts</w:t>
      </w:r>
    </w:p>
    <w:p w:rsidR="00CD40E0" w:rsidRDefault="00C214A5" w:rsidP="00ED1AFC">
      <w:pPr>
        <w:pStyle w:val="ListParagraph"/>
        <w:spacing w:after="0" w:line="240" w:lineRule="auto"/>
        <w:ind w:left="567"/>
        <w:rPr>
          <w:b/>
          <w:bCs/>
          <w:sz w:val="23"/>
          <w:szCs w:val="23"/>
          <w:lang w:val="fr-FR"/>
        </w:rPr>
      </w:pPr>
      <w:r w:rsidRPr="00D865CA">
        <w:rPr>
          <w:b/>
          <w:bCs/>
          <w:sz w:val="23"/>
          <w:szCs w:val="23"/>
          <w:lang w:val="fr-FR"/>
        </w:rPr>
        <w:t xml:space="preserve">VI.1. </w:t>
      </w:r>
      <w:r w:rsidR="00ED1AFC">
        <w:rPr>
          <w:b/>
          <w:bCs/>
          <w:sz w:val="23"/>
          <w:szCs w:val="23"/>
          <w:lang w:val="fr-FR"/>
        </w:rPr>
        <w:t>Coûts de p</w:t>
      </w:r>
      <w:r w:rsidRPr="00D865CA">
        <w:rPr>
          <w:b/>
          <w:bCs/>
          <w:sz w:val="23"/>
          <w:szCs w:val="23"/>
          <w:lang w:val="fr-FR"/>
        </w:rPr>
        <w:t>ersonnel</w:t>
      </w:r>
    </w:p>
    <w:p w:rsidR="00ED1AFC" w:rsidRPr="00D865CA" w:rsidRDefault="00ED1AFC" w:rsidP="00ED1AFC">
      <w:pPr>
        <w:pStyle w:val="ListParagraph"/>
        <w:spacing w:after="0" w:line="240" w:lineRule="auto"/>
        <w:ind w:left="567"/>
        <w:rPr>
          <w:rFonts w:cs="Times New Roman"/>
          <w:color w:val="000000"/>
          <w:lang w:val="fr-FR"/>
        </w:rPr>
      </w:pPr>
    </w:p>
    <w:p w:rsidR="008832CC" w:rsidRPr="009A7042" w:rsidRDefault="008832CC">
      <w:pPr>
        <w:spacing w:after="0" w:line="240" w:lineRule="auto"/>
        <w:ind w:left="567"/>
        <w:jc w:val="both"/>
        <w:rPr>
          <w:rFonts w:cs="Times New Roman"/>
          <w:color w:val="000000"/>
          <w:lang w:val="fr-FR"/>
        </w:rPr>
      </w:pPr>
      <w:r w:rsidRPr="009A7042">
        <w:rPr>
          <w:rFonts w:cs="Times New Roman"/>
          <w:color w:val="000000"/>
          <w:lang w:val="fr-FR"/>
        </w:rPr>
        <w:t xml:space="preserve">Les coûts du personnel peuvent comprendre </w:t>
      </w:r>
      <w:r w:rsidR="002A68BF">
        <w:rPr>
          <w:rFonts w:cs="Times New Roman"/>
          <w:color w:val="000000"/>
          <w:lang w:val="fr-FR"/>
        </w:rPr>
        <w:t xml:space="preserve">les </w:t>
      </w:r>
      <w:r w:rsidRPr="009A7042">
        <w:rPr>
          <w:rFonts w:cs="Times New Roman"/>
          <w:color w:val="000000"/>
          <w:lang w:val="fr-FR"/>
        </w:rPr>
        <w:t xml:space="preserve">salaires bruts </w:t>
      </w:r>
      <w:r>
        <w:rPr>
          <w:rFonts w:cs="Times New Roman"/>
          <w:color w:val="000000"/>
          <w:lang w:val="fr-FR"/>
        </w:rPr>
        <w:t xml:space="preserve">réels </w:t>
      </w:r>
      <w:r w:rsidR="009A7042">
        <w:rPr>
          <w:rFonts w:cs="Times New Roman"/>
          <w:color w:val="000000"/>
          <w:lang w:val="fr-FR"/>
        </w:rPr>
        <w:t xml:space="preserve">relatifs au temps effectif dédié au projet, les impôts sur les revenus, les charges de sécurité sociale, etc., ainsi que </w:t>
      </w:r>
      <w:r w:rsidR="002A68BF">
        <w:rPr>
          <w:rFonts w:cs="Times New Roman"/>
          <w:color w:val="000000"/>
          <w:lang w:val="fr-FR"/>
        </w:rPr>
        <w:t xml:space="preserve">les </w:t>
      </w:r>
      <w:r w:rsidR="009A7042">
        <w:rPr>
          <w:rFonts w:cs="Times New Roman"/>
          <w:color w:val="000000"/>
          <w:lang w:val="fr-FR"/>
        </w:rPr>
        <w:t>autres coûts statutaires faisant partie des rémunérations, à condition qu’ils fassent partie de</w:t>
      </w:r>
      <w:r w:rsidR="002A68BF">
        <w:rPr>
          <w:rFonts w:cs="Times New Roman"/>
          <w:color w:val="000000"/>
          <w:lang w:val="fr-FR"/>
        </w:rPr>
        <w:t xml:space="preserve">s </w:t>
      </w:r>
      <w:r w:rsidR="002A68BF">
        <w:rPr>
          <w:rFonts w:cs="Times New Roman"/>
          <w:color w:val="000000"/>
          <w:lang w:val="fr-FR"/>
        </w:rPr>
        <w:lastRenderedPageBreak/>
        <w:t>procédures codifiées ressources humaines de l’organisation</w:t>
      </w:r>
      <w:r w:rsidR="009A7042">
        <w:rPr>
          <w:rFonts w:cs="Times New Roman"/>
          <w:color w:val="000000"/>
          <w:lang w:val="fr-FR"/>
        </w:rPr>
        <w:t xml:space="preserve"> et qu’ils puissent être prouvés par </w:t>
      </w:r>
      <w:r w:rsidR="002A68BF">
        <w:rPr>
          <w:rFonts w:cs="Times New Roman"/>
          <w:color w:val="000000"/>
          <w:lang w:val="fr-FR"/>
        </w:rPr>
        <w:t>d</w:t>
      </w:r>
      <w:r w:rsidR="009A7042">
        <w:rPr>
          <w:rFonts w:cs="Times New Roman"/>
          <w:color w:val="000000"/>
          <w:lang w:val="fr-FR"/>
        </w:rPr>
        <w:t>es documents justificatifs.</w:t>
      </w:r>
    </w:p>
    <w:p w:rsidR="009A7042" w:rsidRPr="00DE3FB1" w:rsidRDefault="009A7042">
      <w:pPr>
        <w:spacing w:after="0" w:line="240" w:lineRule="auto"/>
        <w:ind w:left="567"/>
        <w:jc w:val="both"/>
        <w:rPr>
          <w:rFonts w:cs="Times New Roman"/>
          <w:color w:val="000000"/>
          <w:lang w:val="fr-FR"/>
        </w:rPr>
      </w:pPr>
    </w:p>
    <w:p w:rsidR="009A7042" w:rsidRPr="00A67B1A" w:rsidRDefault="00A67B1A">
      <w:pPr>
        <w:spacing w:after="0" w:line="240" w:lineRule="auto"/>
        <w:ind w:left="567"/>
        <w:jc w:val="both"/>
        <w:rPr>
          <w:rFonts w:cs="Times New Roman"/>
          <w:color w:val="000000"/>
          <w:lang w:val="fr-FR"/>
        </w:rPr>
      </w:pPr>
      <w:r w:rsidRPr="00E73038">
        <w:rPr>
          <w:rFonts w:cs="Arial"/>
          <w:color w:val="000000"/>
          <w:lang w:val="fr-FR"/>
        </w:rPr>
        <w:t>À</w:t>
      </w:r>
      <w:r w:rsidR="009A7042" w:rsidRPr="00A67B1A">
        <w:rPr>
          <w:rFonts w:cs="Times New Roman"/>
          <w:color w:val="000000"/>
          <w:lang w:val="fr-FR"/>
        </w:rPr>
        <w:t xml:space="preserve"> titre d’exemple, les assurance</w:t>
      </w:r>
      <w:r w:rsidR="002A68BF">
        <w:rPr>
          <w:rFonts w:cs="Times New Roman"/>
          <w:color w:val="000000"/>
          <w:lang w:val="fr-FR"/>
        </w:rPr>
        <w:t>s</w:t>
      </w:r>
      <w:r w:rsidR="009A7042" w:rsidRPr="00A67B1A">
        <w:rPr>
          <w:rFonts w:cs="Times New Roman"/>
          <w:color w:val="000000"/>
          <w:lang w:val="fr-FR"/>
        </w:rPr>
        <w:t xml:space="preserve"> santé, les frais de </w:t>
      </w:r>
      <w:r w:rsidR="009A7042" w:rsidRPr="009A7042">
        <w:rPr>
          <w:rFonts w:cs="Times New Roman"/>
          <w:color w:val="000000"/>
          <w:lang w:val="fr-FR"/>
        </w:rPr>
        <w:t>rapatriement</w:t>
      </w:r>
      <w:r w:rsidR="009A7042" w:rsidRPr="00A67B1A">
        <w:rPr>
          <w:rFonts w:cs="Times New Roman"/>
          <w:color w:val="000000"/>
          <w:lang w:val="fr-FR"/>
        </w:rPr>
        <w:t xml:space="preserve"> et </w:t>
      </w:r>
      <w:r w:rsidR="002A68BF">
        <w:rPr>
          <w:rFonts w:cs="Times New Roman"/>
          <w:color w:val="000000"/>
          <w:lang w:val="fr-FR"/>
        </w:rPr>
        <w:t xml:space="preserve">de </w:t>
      </w:r>
      <w:r w:rsidR="009A7042">
        <w:rPr>
          <w:rFonts w:cs="Times New Roman"/>
          <w:color w:val="000000"/>
          <w:lang w:val="fr-FR"/>
        </w:rPr>
        <w:t xml:space="preserve">relocation, les frais de visa, les indemnités de location et autres avantages peuvent être considérés comme éligibles, à condition qu’ils soient conformes à la législation en vigueur, </w:t>
      </w:r>
      <w:r w:rsidR="002A68BF">
        <w:rPr>
          <w:rFonts w:cs="Times New Roman"/>
          <w:color w:val="000000"/>
          <w:lang w:val="fr-FR"/>
        </w:rPr>
        <w:t xml:space="preserve">qu’ils correspondent à une procédure </w:t>
      </w:r>
      <w:r>
        <w:rPr>
          <w:rFonts w:cs="Times New Roman"/>
          <w:color w:val="000000"/>
          <w:lang w:val="fr-FR"/>
        </w:rPr>
        <w:t xml:space="preserve">codifiée dans l’organisation et </w:t>
      </w:r>
      <w:r w:rsidR="002A68BF">
        <w:rPr>
          <w:rFonts w:cs="Times New Roman"/>
          <w:color w:val="000000"/>
          <w:lang w:val="fr-FR"/>
        </w:rPr>
        <w:t xml:space="preserve">qu’ils soient </w:t>
      </w:r>
      <w:r>
        <w:rPr>
          <w:rFonts w:cs="Times New Roman"/>
          <w:color w:val="000000"/>
          <w:lang w:val="fr-FR"/>
        </w:rPr>
        <w:t>effectivement déboursés.</w:t>
      </w:r>
    </w:p>
    <w:p w:rsidR="00CD40E0" w:rsidRPr="00FE7490" w:rsidRDefault="00CD40E0">
      <w:pPr>
        <w:spacing w:after="0" w:line="240" w:lineRule="auto"/>
        <w:ind w:left="567"/>
        <w:jc w:val="both"/>
        <w:rPr>
          <w:rFonts w:cs="Times New Roman"/>
          <w:color w:val="000000"/>
          <w:lang w:val="fr-FR"/>
        </w:rPr>
      </w:pPr>
    </w:p>
    <w:p w:rsidR="00CD40E0" w:rsidRPr="00A67B1A" w:rsidRDefault="00A67B1A">
      <w:pPr>
        <w:spacing w:after="0" w:line="240" w:lineRule="auto"/>
        <w:ind w:left="567"/>
        <w:jc w:val="both"/>
        <w:rPr>
          <w:rFonts w:cs="Times New Roman"/>
          <w:color w:val="000000"/>
          <w:lang w:val="fr-FR"/>
        </w:rPr>
      </w:pPr>
      <w:r w:rsidRPr="00A67B1A">
        <w:rPr>
          <w:rFonts w:cs="Times New Roman"/>
          <w:color w:val="000000"/>
          <w:lang w:val="fr-FR"/>
        </w:rPr>
        <w:t>En règle générale, les provisions ne sont pas considérées comme éligibles.</w:t>
      </w:r>
    </w:p>
    <w:p w:rsidR="00A67B1A" w:rsidRDefault="00A67B1A">
      <w:pPr>
        <w:spacing w:after="0" w:line="240" w:lineRule="auto"/>
        <w:ind w:left="567"/>
        <w:jc w:val="both"/>
        <w:rPr>
          <w:rFonts w:cs="Times New Roman"/>
          <w:color w:val="000000"/>
          <w:lang w:val="fr-FR"/>
        </w:rPr>
      </w:pPr>
    </w:p>
    <w:p w:rsidR="00A67B1A" w:rsidRPr="006222C0" w:rsidRDefault="00A67B1A">
      <w:pPr>
        <w:spacing w:after="0" w:line="240" w:lineRule="auto"/>
        <w:ind w:left="567"/>
        <w:jc w:val="both"/>
        <w:rPr>
          <w:rFonts w:cs="Times New Roman"/>
          <w:color w:val="000000"/>
          <w:lang w:val="fr-FR"/>
        </w:rPr>
      </w:pPr>
      <w:r w:rsidRPr="006222C0">
        <w:rPr>
          <w:rFonts w:cs="Times New Roman"/>
          <w:color w:val="000000"/>
          <w:lang w:val="fr-FR"/>
        </w:rPr>
        <w:t>Les coûts du personnel doivent être r</w:t>
      </w:r>
      <w:r w:rsidR="002A68BF">
        <w:rPr>
          <w:rFonts w:cs="Times New Roman"/>
          <w:color w:val="000000"/>
          <w:lang w:val="fr-FR"/>
        </w:rPr>
        <w:t xml:space="preserve">apportés </w:t>
      </w:r>
      <w:r w:rsidRPr="006222C0">
        <w:rPr>
          <w:rFonts w:cs="Times New Roman"/>
          <w:color w:val="000000"/>
          <w:lang w:val="fr-FR"/>
        </w:rPr>
        <w:t xml:space="preserve">aux tableaux justificatifs, </w:t>
      </w:r>
      <w:r>
        <w:rPr>
          <w:rFonts w:cs="Times New Roman"/>
          <w:color w:val="000000"/>
          <w:lang w:val="fr-FR"/>
        </w:rPr>
        <w:t xml:space="preserve">qui comprennent </w:t>
      </w:r>
      <w:r w:rsidRPr="006222C0">
        <w:rPr>
          <w:rFonts w:cs="Times New Roman"/>
          <w:color w:val="000000"/>
          <w:lang w:val="fr-FR"/>
        </w:rPr>
        <w:t xml:space="preserve">notamment </w:t>
      </w:r>
      <w:r>
        <w:rPr>
          <w:rFonts w:cs="Times New Roman"/>
          <w:color w:val="000000"/>
          <w:lang w:val="fr-FR"/>
        </w:rPr>
        <w:t xml:space="preserve">le numéro d’identification et </w:t>
      </w:r>
      <w:r w:rsidR="002A68BF">
        <w:rPr>
          <w:rFonts w:cs="Times New Roman"/>
          <w:color w:val="000000"/>
          <w:lang w:val="fr-FR"/>
        </w:rPr>
        <w:t xml:space="preserve">le </w:t>
      </w:r>
      <w:r>
        <w:rPr>
          <w:rFonts w:cs="Times New Roman"/>
          <w:color w:val="000000"/>
          <w:lang w:val="fr-FR"/>
        </w:rPr>
        <w:t>nom des employés</w:t>
      </w:r>
      <w:r w:rsidR="002A68BF">
        <w:rPr>
          <w:rFonts w:cs="Times New Roman"/>
          <w:color w:val="000000"/>
          <w:lang w:val="fr-FR"/>
        </w:rPr>
        <w:t xml:space="preserve"> concernés</w:t>
      </w:r>
      <w:r>
        <w:rPr>
          <w:rFonts w:cs="Times New Roman"/>
          <w:color w:val="000000"/>
          <w:lang w:val="fr-FR"/>
        </w:rPr>
        <w:t xml:space="preserve">, </w:t>
      </w:r>
      <w:r w:rsidR="002A68BF">
        <w:rPr>
          <w:rFonts w:cs="Times New Roman"/>
          <w:color w:val="000000"/>
          <w:lang w:val="fr-FR"/>
        </w:rPr>
        <w:t>l’</w:t>
      </w:r>
      <w:r>
        <w:rPr>
          <w:rFonts w:cs="Times New Roman"/>
          <w:color w:val="000000"/>
          <w:lang w:val="fr-FR"/>
        </w:rPr>
        <w:t xml:space="preserve">indication de régime temps plein/temps partiel, </w:t>
      </w:r>
      <w:r w:rsidR="002A68BF">
        <w:rPr>
          <w:rFonts w:cs="Times New Roman"/>
          <w:color w:val="000000"/>
          <w:lang w:val="fr-FR"/>
        </w:rPr>
        <w:t xml:space="preserve">les </w:t>
      </w:r>
      <w:r w:rsidR="006222C0">
        <w:rPr>
          <w:rFonts w:cs="Times New Roman"/>
          <w:color w:val="000000"/>
          <w:lang w:val="fr-FR"/>
        </w:rPr>
        <w:t>comptes de rémunérations,</w:t>
      </w:r>
      <w:r w:rsidR="002A68BF">
        <w:rPr>
          <w:rFonts w:cs="Times New Roman"/>
          <w:color w:val="000000"/>
          <w:lang w:val="fr-FR"/>
        </w:rPr>
        <w:t xml:space="preserve"> les</w:t>
      </w:r>
      <w:r w:rsidR="006222C0">
        <w:rPr>
          <w:rFonts w:cs="Times New Roman"/>
          <w:color w:val="000000"/>
          <w:lang w:val="fr-FR"/>
        </w:rPr>
        <w:t xml:space="preserve"> feuilles de paie et </w:t>
      </w:r>
      <w:r w:rsidR="002A68BF">
        <w:rPr>
          <w:rFonts w:cs="Times New Roman"/>
          <w:color w:val="000000"/>
          <w:lang w:val="fr-FR"/>
        </w:rPr>
        <w:t xml:space="preserve">la </w:t>
      </w:r>
      <w:r w:rsidR="006222C0">
        <w:rPr>
          <w:rFonts w:cs="Times New Roman"/>
          <w:color w:val="000000"/>
          <w:lang w:val="fr-FR"/>
        </w:rPr>
        <w:t xml:space="preserve">documentation </w:t>
      </w:r>
      <w:r w:rsidR="002A68BF">
        <w:rPr>
          <w:rFonts w:cs="Times New Roman"/>
          <w:color w:val="000000"/>
          <w:lang w:val="fr-FR"/>
        </w:rPr>
        <w:t xml:space="preserve">plus large </w:t>
      </w:r>
      <w:r w:rsidR="006222C0">
        <w:rPr>
          <w:rFonts w:cs="Times New Roman"/>
          <w:color w:val="000000"/>
          <w:lang w:val="fr-FR"/>
        </w:rPr>
        <w:t>de</w:t>
      </w:r>
      <w:r w:rsidR="002A68BF">
        <w:rPr>
          <w:rFonts w:cs="Times New Roman"/>
          <w:color w:val="000000"/>
          <w:lang w:val="fr-FR"/>
        </w:rPr>
        <w:t>s</w:t>
      </w:r>
      <w:r w:rsidR="006222C0">
        <w:rPr>
          <w:rFonts w:cs="Times New Roman"/>
          <w:color w:val="000000"/>
          <w:lang w:val="fr-FR"/>
        </w:rPr>
        <w:t xml:space="preserve"> ressources humaines, telle que contrats de travail.</w:t>
      </w:r>
    </w:p>
    <w:p w:rsidR="00CD40E0" w:rsidRDefault="00CD40E0">
      <w:pPr>
        <w:spacing w:after="0" w:line="240" w:lineRule="auto"/>
        <w:ind w:left="567"/>
        <w:jc w:val="both"/>
        <w:rPr>
          <w:rFonts w:cs="Times New Roman"/>
          <w:color w:val="000000"/>
          <w:lang w:val="fr-FR"/>
        </w:rPr>
      </w:pPr>
    </w:p>
    <w:p w:rsidR="006222C0" w:rsidRPr="006222C0" w:rsidRDefault="006222C0">
      <w:pPr>
        <w:spacing w:after="0" w:line="240" w:lineRule="auto"/>
        <w:ind w:left="567"/>
        <w:jc w:val="both"/>
        <w:rPr>
          <w:rFonts w:cs="Times New Roman"/>
          <w:color w:val="000000"/>
          <w:lang w:val="fr-FR"/>
        </w:rPr>
      </w:pPr>
      <w:r>
        <w:rPr>
          <w:rFonts w:cs="Times New Roman"/>
          <w:color w:val="000000"/>
          <w:lang w:val="fr-FR"/>
        </w:rPr>
        <w:t xml:space="preserve">Le système de </w:t>
      </w:r>
      <w:r w:rsidR="002A68BF" w:rsidRPr="002A68BF">
        <w:rPr>
          <w:rFonts w:cs="Times New Roman"/>
          <w:color w:val="000000"/>
          <w:u w:val="single"/>
          <w:lang w:val="fr-FR"/>
        </w:rPr>
        <w:t>prorata</w:t>
      </w:r>
      <w:r w:rsidRPr="002A68BF">
        <w:rPr>
          <w:rFonts w:cs="Times New Roman"/>
          <w:color w:val="000000"/>
          <w:u w:val="single"/>
          <w:lang w:val="fr-FR"/>
        </w:rPr>
        <w:t xml:space="preserve"> </w:t>
      </w:r>
      <w:r>
        <w:rPr>
          <w:rFonts w:cs="Times New Roman"/>
          <w:color w:val="000000"/>
          <w:lang w:val="fr-FR"/>
        </w:rPr>
        <w:t xml:space="preserve">basé sur les estimations </w:t>
      </w:r>
      <w:r w:rsidRPr="006222C0">
        <w:rPr>
          <w:rFonts w:cs="Times New Roman"/>
          <w:color w:val="000000"/>
          <w:u w:val="single"/>
          <w:lang w:val="fr-FR"/>
        </w:rPr>
        <w:t xml:space="preserve">ne peut pas </w:t>
      </w:r>
      <w:r w:rsidRPr="002A68BF">
        <w:rPr>
          <w:rFonts w:cs="Times New Roman"/>
          <w:color w:val="000000"/>
          <w:u w:val="single"/>
          <w:lang w:val="fr-FR"/>
        </w:rPr>
        <w:t>être accepté</w:t>
      </w:r>
      <w:r>
        <w:rPr>
          <w:rFonts w:cs="Times New Roman"/>
          <w:color w:val="000000"/>
          <w:lang w:val="fr-FR"/>
        </w:rPr>
        <w:t xml:space="preserve"> afin de justifier les coûts directs, car un tel système ne représente pas les coûts réels et est une prévision par sa nature.</w:t>
      </w:r>
    </w:p>
    <w:p w:rsidR="00CD40E0" w:rsidRPr="00DE3FB1" w:rsidRDefault="00CD40E0">
      <w:pPr>
        <w:spacing w:after="0" w:line="240" w:lineRule="auto"/>
        <w:ind w:left="567"/>
        <w:jc w:val="both"/>
        <w:rPr>
          <w:rFonts w:cs="Times New Roman"/>
          <w:color w:val="000000"/>
          <w:lang w:val="fr-FR"/>
        </w:rPr>
      </w:pPr>
    </w:p>
    <w:p w:rsidR="006222C0" w:rsidRPr="006222C0" w:rsidRDefault="006222C0">
      <w:pPr>
        <w:spacing w:after="0" w:line="240" w:lineRule="auto"/>
        <w:ind w:left="567"/>
        <w:jc w:val="both"/>
        <w:rPr>
          <w:rFonts w:cs="Times New Roman"/>
          <w:color w:val="000000"/>
          <w:lang w:val="fr-FR"/>
        </w:rPr>
      </w:pPr>
      <w:r w:rsidRPr="006222C0">
        <w:rPr>
          <w:rFonts w:cs="Times New Roman"/>
          <w:color w:val="000000"/>
          <w:lang w:val="fr-FR"/>
        </w:rPr>
        <w:t>L’onglet “coûts du personnel” dans la liste des transactions doi</w:t>
      </w:r>
      <w:r>
        <w:rPr>
          <w:rFonts w:cs="Times New Roman"/>
          <w:color w:val="000000"/>
          <w:lang w:val="fr-FR"/>
        </w:rPr>
        <w:t xml:space="preserve">t être </w:t>
      </w:r>
      <w:r w:rsidRPr="002A68BF">
        <w:rPr>
          <w:rFonts w:cs="Times New Roman"/>
          <w:color w:val="000000"/>
          <w:u w:val="single"/>
          <w:lang w:val="fr-FR"/>
        </w:rPr>
        <w:t>obligatoirement complété</w:t>
      </w:r>
      <w:r>
        <w:rPr>
          <w:rFonts w:cs="Times New Roman"/>
          <w:color w:val="000000"/>
          <w:lang w:val="fr-FR"/>
        </w:rPr>
        <w:t xml:space="preserve"> afin de calculer les coûts du personnel pour le projet.</w:t>
      </w:r>
    </w:p>
    <w:p w:rsidR="00CD40E0" w:rsidRPr="00DE3FB1" w:rsidRDefault="00CD40E0">
      <w:pPr>
        <w:pStyle w:val="ListParagraph"/>
        <w:spacing w:after="0" w:line="240" w:lineRule="auto"/>
        <w:ind w:left="1440"/>
        <w:jc w:val="both"/>
        <w:rPr>
          <w:b/>
          <w:bCs/>
          <w:sz w:val="23"/>
          <w:szCs w:val="23"/>
          <w:lang w:val="fr-FR"/>
        </w:rPr>
      </w:pPr>
    </w:p>
    <w:p w:rsidR="00CD40E0" w:rsidRPr="00DE3FB1" w:rsidRDefault="00C214A5">
      <w:pPr>
        <w:pStyle w:val="ListParagraph"/>
        <w:spacing w:after="0" w:line="240" w:lineRule="auto"/>
        <w:ind w:left="567"/>
        <w:jc w:val="both"/>
        <w:rPr>
          <w:b/>
          <w:bCs/>
          <w:sz w:val="23"/>
          <w:szCs w:val="23"/>
          <w:lang w:val="fr-FR"/>
        </w:rPr>
      </w:pPr>
      <w:r w:rsidRPr="00DE3FB1">
        <w:rPr>
          <w:b/>
          <w:bCs/>
          <w:sz w:val="23"/>
          <w:szCs w:val="23"/>
          <w:lang w:val="fr-FR"/>
        </w:rPr>
        <w:t>VI.2. Per diem</w:t>
      </w:r>
    </w:p>
    <w:p w:rsidR="00CD40E0" w:rsidRPr="00DE3FB1" w:rsidRDefault="00CD40E0">
      <w:pPr>
        <w:spacing w:after="0" w:line="240" w:lineRule="auto"/>
        <w:ind w:left="567"/>
        <w:jc w:val="both"/>
        <w:rPr>
          <w:rFonts w:cs="Times New Roman"/>
          <w:color w:val="000000"/>
          <w:lang w:val="fr-FR"/>
        </w:rPr>
      </w:pPr>
    </w:p>
    <w:p w:rsidR="00CD40E0" w:rsidRPr="007F30CD" w:rsidRDefault="006222C0">
      <w:pPr>
        <w:spacing w:after="0" w:line="240" w:lineRule="auto"/>
        <w:ind w:left="567"/>
        <w:jc w:val="both"/>
        <w:rPr>
          <w:rFonts w:cs="Times New Roman"/>
          <w:color w:val="000000"/>
          <w:lang w:val="fr-FR"/>
        </w:rPr>
      </w:pPr>
      <w:r w:rsidRPr="007F30CD">
        <w:rPr>
          <w:rFonts w:cs="Times New Roman"/>
          <w:color w:val="000000"/>
          <w:lang w:val="fr-FR"/>
        </w:rPr>
        <w:t>Le</w:t>
      </w:r>
      <w:r w:rsidR="007F30CD">
        <w:rPr>
          <w:rFonts w:cs="Times New Roman"/>
          <w:color w:val="000000"/>
          <w:lang w:val="fr-FR"/>
        </w:rPr>
        <w:t xml:space="preserve"> </w:t>
      </w:r>
      <w:r w:rsidR="00823309" w:rsidRPr="007F30CD">
        <w:rPr>
          <w:rFonts w:cs="Times New Roman"/>
          <w:color w:val="000000"/>
          <w:lang w:val="fr-FR"/>
        </w:rPr>
        <w:t xml:space="preserve">taux des per diem </w:t>
      </w:r>
      <w:r w:rsidR="007F30CD" w:rsidRPr="007F30CD">
        <w:rPr>
          <w:rFonts w:cs="Times New Roman"/>
          <w:color w:val="000000"/>
          <w:lang w:val="fr-FR"/>
        </w:rPr>
        <w:t>compren</w:t>
      </w:r>
      <w:r w:rsidR="007F30CD">
        <w:rPr>
          <w:rFonts w:cs="Times New Roman"/>
          <w:color w:val="000000"/>
          <w:lang w:val="fr-FR"/>
        </w:rPr>
        <w:t>d</w:t>
      </w:r>
      <w:r w:rsidR="00823309" w:rsidRPr="007F30CD">
        <w:rPr>
          <w:rFonts w:cs="Times New Roman"/>
          <w:color w:val="000000"/>
          <w:lang w:val="fr-FR"/>
        </w:rPr>
        <w:t xml:space="preserve"> </w:t>
      </w:r>
      <w:r w:rsidR="00823309">
        <w:rPr>
          <w:rFonts w:cs="Times New Roman"/>
          <w:color w:val="000000"/>
          <w:lang w:val="fr-FR"/>
        </w:rPr>
        <w:t>les frais d</w:t>
      </w:r>
      <w:r w:rsidR="007F30CD">
        <w:rPr>
          <w:rFonts w:cs="Times New Roman"/>
          <w:color w:val="000000"/>
          <w:lang w:val="fr-FR"/>
        </w:rPr>
        <w:t>e séjour</w:t>
      </w:r>
      <w:r w:rsidR="00823309">
        <w:rPr>
          <w:rFonts w:cs="Times New Roman"/>
          <w:color w:val="000000"/>
          <w:lang w:val="fr-FR"/>
        </w:rPr>
        <w:t>,</w:t>
      </w:r>
      <w:r w:rsidR="007F30CD">
        <w:rPr>
          <w:rFonts w:cs="Times New Roman"/>
          <w:color w:val="000000"/>
          <w:lang w:val="fr-FR"/>
        </w:rPr>
        <w:t xml:space="preserve"> </w:t>
      </w:r>
      <w:r w:rsidR="002A68BF">
        <w:rPr>
          <w:rFonts w:cs="Times New Roman"/>
          <w:color w:val="000000"/>
          <w:lang w:val="fr-FR"/>
        </w:rPr>
        <w:t xml:space="preserve">les </w:t>
      </w:r>
      <w:r w:rsidR="007F30CD">
        <w:rPr>
          <w:rFonts w:cs="Times New Roman"/>
          <w:color w:val="000000"/>
          <w:lang w:val="fr-FR"/>
        </w:rPr>
        <w:t xml:space="preserve">repas, </w:t>
      </w:r>
      <w:r w:rsidR="002A68BF">
        <w:rPr>
          <w:rFonts w:cs="Times New Roman"/>
          <w:color w:val="000000"/>
          <w:lang w:val="fr-FR"/>
        </w:rPr>
        <w:t xml:space="preserve">les </w:t>
      </w:r>
      <w:r w:rsidR="007F30CD">
        <w:rPr>
          <w:rFonts w:cs="Times New Roman"/>
          <w:color w:val="000000"/>
          <w:lang w:val="fr-FR"/>
        </w:rPr>
        <w:t xml:space="preserve">déplacements locaux, et </w:t>
      </w:r>
      <w:r w:rsidR="002A68BF">
        <w:rPr>
          <w:rFonts w:cs="Times New Roman"/>
          <w:color w:val="000000"/>
          <w:lang w:val="fr-FR"/>
        </w:rPr>
        <w:t xml:space="preserve">les </w:t>
      </w:r>
      <w:r w:rsidR="007F30CD">
        <w:rPr>
          <w:rFonts w:cs="Times New Roman"/>
          <w:color w:val="000000"/>
          <w:lang w:val="fr-FR"/>
        </w:rPr>
        <w:t>menu</w:t>
      </w:r>
      <w:r w:rsidR="002A68BF">
        <w:rPr>
          <w:rFonts w:cs="Times New Roman"/>
          <w:color w:val="000000"/>
          <w:lang w:val="fr-FR"/>
        </w:rPr>
        <w:t>e</w:t>
      </w:r>
      <w:r w:rsidR="007F30CD">
        <w:rPr>
          <w:rFonts w:cs="Times New Roman"/>
          <w:color w:val="000000"/>
          <w:lang w:val="fr-FR"/>
        </w:rPr>
        <w:t xml:space="preserve">s dépenses. Le nombre maximum des per diem est établi </w:t>
      </w:r>
      <w:r w:rsidR="007F30CD" w:rsidRPr="002A68BF">
        <w:rPr>
          <w:rFonts w:cs="Times New Roman"/>
          <w:color w:val="000000"/>
          <w:u w:val="single"/>
          <w:lang w:val="fr-FR"/>
        </w:rPr>
        <w:t>conformément au nombre des nuits passées en mission</w:t>
      </w:r>
      <w:r w:rsidR="007F30CD">
        <w:rPr>
          <w:rFonts w:cs="Times New Roman"/>
          <w:color w:val="000000"/>
          <w:lang w:val="fr-FR"/>
        </w:rPr>
        <w:t xml:space="preserve"> </w:t>
      </w:r>
      <w:r w:rsidR="002A68BF">
        <w:rPr>
          <w:rFonts w:cs="Times New Roman"/>
          <w:color w:val="000000"/>
          <w:lang w:val="fr-FR"/>
        </w:rPr>
        <w:t xml:space="preserve">mais non </w:t>
      </w:r>
      <w:r w:rsidR="007F30CD">
        <w:rPr>
          <w:rFonts w:cs="Times New Roman"/>
          <w:color w:val="000000"/>
          <w:lang w:val="fr-FR"/>
        </w:rPr>
        <w:t>le nombre de jours.</w:t>
      </w:r>
    </w:p>
    <w:p w:rsidR="007F30CD" w:rsidRPr="007F30CD" w:rsidRDefault="007F30CD">
      <w:pPr>
        <w:spacing w:after="0" w:line="240" w:lineRule="auto"/>
        <w:ind w:left="567"/>
        <w:jc w:val="both"/>
        <w:rPr>
          <w:rFonts w:cs="Times New Roman"/>
          <w:color w:val="000000"/>
          <w:lang w:val="fr-FR"/>
        </w:rPr>
      </w:pPr>
    </w:p>
    <w:p w:rsidR="007F30CD" w:rsidRPr="007F30CD" w:rsidRDefault="007F30CD">
      <w:pPr>
        <w:spacing w:after="0" w:line="240" w:lineRule="auto"/>
        <w:ind w:left="567"/>
        <w:jc w:val="both"/>
        <w:rPr>
          <w:rFonts w:cs="Times New Roman"/>
          <w:color w:val="000000"/>
          <w:lang w:val="fr-FR"/>
        </w:rPr>
      </w:pPr>
      <w:r w:rsidRPr="007F30CD">
        <w:rPr>
          <w:rFonts w:cs="Times New Roman"/>
          <w:color w:val="000000"/>
          <w:lang w:val="fr-FR"/>
        </w:rPr>
        <w:t>Les per diem doivent être justifi</w:t>
      </w:r>
      <w:r w:rsidR="002A68BF">
        <w:rPr>
          <w:rFonts w:cs="Times New Roman"/>
          <w:color w:val="000000"/>
          <w:lang w:val="fr-FR"/>
        </w:rPr>
        <w:t>é</w:t>
      </w:r>
      <w:r w:rsidRPr="007F30CD">
        <w:rPr>
          <w:rFonts w:cs="Times New Roman"/>
          <w:color w:val="000000"/>
          <w:lang w:val="fr-FR"/>
        </w:rPr>
        <w:t xml:space="preserve">s </w:t>
      </w:r>
      <w:r>
        <w:rPr>
          <w:rFonts w:cs="Times New Roman"/>
          <w:color w:val="000000"/>
          <w:lang w:val="fr-FR"/>
        </w:rPr>
        <w:t xml:space="preserve">par les tableaux avec les données telles que le nombre et noms du personnel, le nombre de per diem payés, le taux de per diem </w:t>
      </w:r>
      <w:r w:rsidR="002A68BF">
        <w:rPr>
          <w:rFonts w:cs="Times New Roman"/>
          <w:color w:val="000000"/>
          <w:lang w:val="fr-FR"/>
        </w:rPr>
        <w:t xml:space="preserve">utilisé </w:t>
      </w:r>
      <w:r>
        <w:rPr>
          <w:rFonts w:cs="Times New Roman"/>
          <w:color w:val="000000"/>
          <w:lang w:val="fr-FR"/>
        </w:rPr>
        <w:t xml:space="preserve">et lieu de voyage, ainsi que </w:t>
      </w:r>
      <w:r w:rsidR="002A68BF">
        <w:rPr>
          <w:rFonts w:cs="Times New Roman"/>
          <w:color w:val="000000"/>
          <w:lang w:val="fr-FR"/>
        </w:rPr>
        <w:t>d’</w:t>
      </w:r>
      <w:r>
        <w:rPr>
          <w:rFonts w:cs="Times New Roman"/>
          <w:color w:val="000000"/>
          <w:lang w:val="fr-FR"/>
        </w:rPr>
        <w:t>autres données comptables, HR, etc.</w:t>
      </w:r>
    </w:p>
    <w:p w:rsidR="00282891" w:rsidRPr="00DE3FB1" w:rsidRDefault="00282891">
      <w:pPr>
        <w:spacing w:after="0" w:line="240" w:lineRule="auto"/>
        <w:ind w:left="567"/>
        <w:jc w:val="both"/>
        <w:rPr>
          <w:rFonts w:cs="Times New Roman"/>
          <w:color w:val="000000"/>
          <w:lang w:val="fr-FR"/>
        </w:rPr>
      </w:pPr>
    </w:p>
    <w:p w:rsidR="00CD40E0" w:rsidRPr="00FE7490" w:rsidRDefault="007F30CD">
      <w:pPr>
        <w:spacing w:after="0" w:line="240" w:lineRule="auto"/>
        <w:ind w:left="567"/>
        <w:jc w:val="both"/>
        <w:rPr>
          <w:rFonts w:cs="Times New Roman"/>
          <w:color w:val="000000"/>
          <w:lang w:val="fr-FR"/>
        </w:rPr>
      </w:pPr>
      <w:r w:rsidRPr="00FE7490">
        <w:rPr>
          <w:rFonts w:cs="Times New Roman"/>
          <w:color w:val="000000"/>
          <w:lang w:val="fr-FR"/>
        </w:rPr>
        <w:t>Si votre organisation ne possède pas de poli</w:t>
      </w:r>
      <w:r w:rsidR="002A68BF">
        <w:rPr>
          <w:rFonts w:cs="Times New Roman"/>
          <w:color w:val="000000"/>
          <w:lang w:val="fr-FR"/>
        </w:rPr>
        <w:t>tique interne</w:t>
      </w:r>
      <w:r w:rsidRPr="00FE7490">
        <w:rPr>
          <w:rFonts w:cs="Times New Roman"/>
          <w:color w:val="000000"/>
          <w:lang w:val="fr-FR"/>
        </w:rPr>
        <w:t xml:space="preserve"> en matière de déplacement avec </w:t>
      </w:r>
      <w:r w:rsidR="007A3802" w:rsidRPr="00FE7490">
        <w:rPr>
          <w:rFonts w:cs="Times New Roman"/>
          <w:color w:val="000000"/>
          <w:lang w:val="fr-FR"/>
        </w:rPr>
        <w:t>d</w:t>
      </w:r>
      <w:r w:rsidRPr="00FE7490">
        <w:rPr>
          <w:rFonts w:cs="Times New Roman"/>
          <w:color w:val="000000"/>
          <w:lang w:val="fr-FR"/>
        </w:rPr>
        <w:t>es taux de per diem fixe</w:t>
      </w:r>
      <w:r w:rsidR="007A3802" w:rsidRPr="00FE7490">
        <w:rPr>
          <w:rFonts w:cs="Times New Roman"/>
          <w:color w:val="000000"/>
          <w:lang w:val="fr-FR"/>
        </w:rPr>
        <w:t xml:space="preserve">s, vous pouvez utiliser les taux de per diem acceptés dans votre budget BEST 2.0 </w:t>
      </w:r>
      <w:r w:rsidR="002A68BF">
        <w:rPr>
          <w:rFonts w:cs="Times New Roman"/>
          <w:color w:val="000000"/>
          <w:lang w:val="fr-FR"/>
        </w:rPr>
        <w:t>tel qu’</w:t>
      </w:r>
      <w:r w:rsidR="007A3802" w:rsidRPr="00FE7490">
        <w:rPr>
          <w:rFonts w:cs="Times New Roman"/>
          <w:color w:val="000000"/>
          <w:lang w:val="fr-FR"/>
        </w:rPr>
        <w:t xml:space="preserve">approuvé. </w:t>
      </w:r>
    </w:p>
    <w:p w:rsidR="007A3802" w:rsidRPr="00FE7490" w:rsidRDefault="007A3802">
      <w:pPr>
        <w:spacing w:after="0" w:line="240" w:lineRule="auto"/>
        <w:ind w:left="567"/>
        <w:jc w:val="both"/>
        <w:rPr>
          <w:rFonts w:cs="Times New Roman"/>
          <w:color w:val="000000"/>
          <w:lang w:val="fr-FR"/>
        </w:rPr>
      </w:pPr>
    </w:p>
    <w:p w:rsidR="007A3802" w:rsidRPr="007A3802" w:rsidRDefault="002A68BF">
      <w:pPr>
        <w:spacing w:after="0" w:line="240" w:lineRule="auto"/>
        <w:ind w:left="567"/>
        <w:jc w:val="both"/>
        <w:rPr>
          <w:rFonts w:cs="Times New Roman"/>
          <w:color w:val="000000"/>
          <w:lang w:val="fr-FR"/>
        </w:rPr>
      </w:pPr>
      <w:r>
        <w:rPr>
          <w:rFonts w:cs="Times New Roman"/>
          <w:color w:val="000000"/>
          <w:lang w:val="fr-FR"/>
        </w:rPr>
        <w:t>Le r</w:t>
      </w:r>
      <w:r w:rsidR="007A3802" w:rsidRPr="007A3802">
        <w:rPr>
          <w:rFonts w:cs="Times New Roman"/>
          <w:color w:val="000000"/>
          <w:lang w:val="fr-FR"/>
        </w:rPr>
        <w:t xml:space="preserve">emboursement des dépenses réellement encourues peut </w:t>
      </w:r>
      <w:r w:rsidR="007A3802">
        <w:rPr>
          <w:rFonts w:cs="Times New Roman"/>
          <w:color w:val="000000"/>
          <w:lang w:val="fr-FR"/>
        </w:rPr>
        <w:t>être utilisé au lieu de taux fixe de per diem. L’ensemble de</w:t>
      </w:r>
      <w:r>
        <w:rPr>
          <w:rFonts w:cs="Times New Roman"/>
          <w:color w:val="000000"/>
          <w:lang w:val="fr-FR"/>
        </w:rPr>
        <w:t>s</w:t>
      </w:r>
      <w:r w:rsidR="007A3802">
        <w:rPr>
          <w:rFonts w:cs="Times New Roman"/>
          <w:color w:val="000000"/>
          <w:lang w:val="fr-FR"/>
        </w:rPr>
        <w:t xml:space="preserve"> reçus et factures sera</w:t>
      </w:r>
      <w:r>
        <w:rPr>
          <w:rFonts w:cs="Times New Roman"/>
          <w:color w:val="000000"/>
          <w:lang w:val="fr-FR"/>
        </w:rPr>
        <w:t xml:space="preserve"> alors</w:t>
      </w:r>
      <w:r w:rsidR="007A3802">
        <w:rPr>
          <w:rFonts w:cs="Times New Roman"/>
          <w:color w:val="000000"/>
          <w:lang w:val="fr-FR"/>
        </w:rPr>
        <w:t xml:space="preserve"> requis si cette option est choisie.</w:t>
      </w:r>
    </w:p>
    <w:p w:rsidR="004755CD" w:rsidRPr="00DE3FB1" w:rsidRDefault="004755CD">
      <w:pPr>
        <w:spacing w:after="0" w:line="240" w:lineRule="auto"/>
        <w:ind w:left="567"/>
        <w:jc w:val="both"/>
        <w:rPr>
          <w:rFonts w:cs="Times New Roman"/>
          <w:color w:val="000000"/>
          <w:lang w:val="fr-FR"/>
        </w:rPr>
      </w:pPr>
    </w:p>
    <w:p w:rsidR="004755CD" w:rsidRPr="00DE3FB1" w:rsidRDefault="004755CD">
      <w:pPr>
        <w:spacing w:after="0" w:line="240" w:lineRule="auto"/>
        <w:ind w:left="567"/>
        <w:jc w:val="both"/>
        <w:rPr>
          <w:rFonts w:cs="Times New Roman"/>
          <w:color w:val="000000"/>
          <w:lang w:val="fr-FR"/>
        </w:rPr>
      </w:pPr>
    </w:p>
    <w:p w:rsidR="004755CD" w:rsidRPr="00A85052" w:rsidRDefault="004755CD">
      <w:pPr>
        <w:spacing w:after="0" w:line="240" w:lineRule="auto"/>
        <w:ind w:left="567"/>
        <w:jc w:val="both"/>
        <w:rPr>
          <w:rFonts w:cs="Times New Roman"/>
          <w:color w:val="000000"/>
          <w:lang w:val="fr-FR"/>
        </w:rPr>
      </w:pPr>
      <w:r w:rsidRPr="00E73038">
        <w:rPr>
          <w:rFonts w:cs="Times New Roman"/>
          <w:b/>
          <w:i/>
          <w:color w:val="000000"/>
          <w:lang w:val="fr-FR"/>
        </w:rPr>
        <w:t>Ex</w:t>
      </w:r>
      <w:r w:rsidR="003B357C" w:rsidRPr="00E73038">
        <w:rPr>
          <w:rFonts w:cs="Times New Roman"/>
          <w:b/>
          <w:i/>
          <w:color w:val="000000"/>
          <w:lang w:val="fr-FR"/>
        </w:rPr>
        <w:t>e</w:t>
      </w:r>
      <w:r w:rsidRPr="00E73038">
        <w:rPr>
          <w:rFonts w:cs="Times New Roman"/>
          <w:b/>
          <w:i/>
          <w:color w:val="000000"/>
          <w:lang w:val="fr-FR"/>
        </w:rPr>
        <w:t>mple 1.</w:t>
      </w:r>
      <w:r w:rsidRPr="00A85052">
        <w:rPr>
          <w:rFonts w:cs="Times New Roman"/>
          <w:color w:val="000000"/>
          <w:lang w:val="fr-FR"/>
        </w:rPr>
        <w:t xml:space="preserve"> </w:t>
      </w:r>
      <w:r w:rsidR="00A85052" w:rsidRPr="00A85052">
        <w:rPr>
          <w:rFonts w:cs="Times New Roman"/>
          <w:color w:val="000000"/>
          <w:lang w:val="fr-FR"/>
        </w:rPr>
        <w:t>L’organisation a une poli</w:t>
      </w:r>
      <w:r w:rsidR="002A68BF">
        <w:rPr>
          <w:rFonts w:cs="Times New Roman"/>
          <w:color w:val="000000"/>
          <w:lang w:val="fr-FR"/>
        </w:rPr>
        <w:t>tique interne</w:t>
      </w:r>
      <w:r w:rsidR="00A85052" w:rsidRPr="00A85052">
        <w:rPr>
          <w:rFonts w:cs="Times New Roman"/>
          <w:color w:val="000000"/>
          <w:lang w:val="fr-FR"/>
        </w:rPr>
        <w:t xml:space="preserve"> en matière de déplacement avec des taux de per diem fixes</w:t>
      </w:r>
      <w:r w:rsidRPr="00A85052">
        <w:rPr>
          <w:rFonts w:cs="Times New Roman"/>
          <w:color w:val="000000"/>
          <w:lang w:val="fr-FR"/>
        </w:rPr>
        <w:t>.</w:t>
      </w:r>
    </w:p>
    <w:p w:rsidR="002A68BF" w:rsidRDefault="002A68BF">
      <w:pPr>
        <w:spacing w:after="0" w:line="240" w:lineRule="auto"/>
        <w:ind w:left="567"/>
        <w:jc w:val="both"/>
        <w:rPr>
          <w:lang w:val="fr-FR"/>
        </w:rPr>
      </w:pPr>
    </w:p>
    <w:p w:rsidR="004755CD" w:rsidRPr="00A85052" w:rsidRDefault="00AD6629">
      <w:pPr>
        <w:spacing w:after="0" w:line="240" w:lineRule="auto"/>
        <w:ind w:left="567"/>
        <w:jc w:val="both"/>
        <w:rPr>
          <w:lang w:val="fr-FR"/>
        </w:rPr>
      </w:pPr>
      <w:r>
        <w:rPr>
          <w:lang w:val="fr-FR"/>
        </w:rPr>
        <w:t xml:space="preserve">Un chargé de mission part en déplacement pour une mission de terrain à la destination </w:t>
      </w:r>
      <w:r w:rsidR="004755CD" w:rsidRPr="00A85052">
        <w:rPr>
          <w:lang w:val="fr-FR"/>
        </w:rPr>
        <w:t xml:space="preserve">A </w:t>
      </w:r>
      <w:r>
        <w:rPr>
          <w:lang w:val="fr-FR"/>
        </w:rPr>
        <w:t xml:space="preserve">du </w:t>
      </w:r>
      <w:r w:rsidR="004755CD" w:rsidRPr="00A85052">
        <w:rPr>
          <w:lang w:val="fr-FR"/>
        </w:rPr>
        <w:t xml:space="preserve">12/10 </w:t>
      </w:r>
      <w:r>
        <w:rPr>
          <w:lang w:val="fr-FR"/>
        </w:rPr>
        <w:t>au</w:t>
      </w:r>
      <w:r w:rsidR="004755CD" w:rsidRPr="00A85052">
        <w:rPr>
          <w:lang w:val="fr-FR"/>
        </w:rPr>
        <w:t xml:space="preserve"> 16/10, i.e. </w:t>
      </w:r>
      <w:r>
        <w:rPr>
          <w:lang w:val="fr-FR"/>
        </w:rPr>
        <w:t>4 nuits</w:t>
      </w:r>
      <w:r w:rsidR="004755CD" w:rsidRPr="00A85052">
        <w:rPr>
          <w:lang w:val="fr-FR"/>
        </w:rPr>
        <w:t xml:space="preserve">. </w:t>
      </w:r>
      <w:r>
        <w:rPr>
          <w:lang w:val="fr-FR"/>
        </w:rPr>
        <w:t>La poli</w:t>
      </w:r>
      <w:r w:rsidR="005C4DAD">
        <w:rPr>
          <w:lang w:val="fr-FR"/>
        </w:rPr>
        <w:t xml:space="preserve">tique interne </w:t>
      </w:r>
      <w:r>
        <w:rPr>
          <w:lang w:val="fr-FR"/>
        </w:rPr>
        <w:t xml:space="preserve">de déplacement de l’organisation établit un per diem de </w:t>
      </w:r>
      <w:r w:rsidR="004755CD" w:rsidRPr="00A85052">
        <w:rPr>
          <w:lang w:val="fr-FR"/>
        </w:rPr>
        <w:t>100€/</w:t>
      </w:r>
      <w:r>
        <w:rPr>
          <w:lang w:val="fr-FR"/>
        </w:rPr>
        <w:t xml:space="preserve">nuit pour la destination </w:t>
      </w:r>
      <w:r w:rsidR="004755CD" w:rsidRPr="00A85052">
        <w:rPr>
          <w:lang w:val="fr-FR"/>
        </w:rPr>
        <w:t xml:space="preserve">A. </w:t>
      </w:r>
      <w:r>
        <w:rPr>
          <w:lang w:val="fr-FR"/>
        </w:rPr>
        <w:t xml:space="preserve">Ainsi l’employé reçoit </w:t>
      </w:r>
      <w:r w:rsidR="003568E3" w:rsidRPr="00A85052">
        <w:rPr>
          <w:lang w:val="fr-FR"/>
        </w:rPr>
        <w:t xml:space="preserve">400€ </w:t>
      </w:r>
      <w:r>
        <w:rPr>
          <w:lang w:val="fr-FR"/>
        </w:rPr>
        <w:t xml:space="preserve"> pour le temps passé en mission</w:t>
      </w:r>
      <w:r w:rsidR="00841DEA" w:rsidRPr="00A85052">
        <w:rPr>
          <w:lang w:val="fr-FR"/>
        </w:rPr>
        <w:t>.</w:t>
      </w:r>
    </w:p>
    <w:p w:rsidR="00E73038" w:rsidRDefault="00E73038">
      <w:pPr>
        <w:spacing w:after="0" w:line="240" w:lineRule="auto"/>
        <w:ind w:left="567"/>
        <w:jc w:val="both"/>
        <w:rPr>
          <w:lang w:val="fr-FR"/>
        </w:rPr>
      </w:pPr>
    </w:p>
    <w:p w:rsidR="002A68BF" w:rsidRDefault="002A68BF">
      <w:pPr>
        <w:spacing w:after="0" w:line="240" w:lineRule="auto"/>
        <w:ind w:left="567"/>
        <w:jc w:val="both"/>
        <w:rPr>
          <w:lang w:val="fr-FR"/>
        </w:rPr>
      </w:pPr>
    </w:p>
    <w:p w:rsidR="002A68BF" w:rsidRDefault="002A68BF">
      <w:pPr>
        <w:spacing w:after="0" w:line="240" w:lineRule="auto"/>
        <w:ind w:left="567"/>
        <w:jc w:val="both"/>
        <w:rPr>
          <w:lang w:val="fr-FR"/>
        </w:rPr>
      </w:pPr>
    </w:p>
    <w:p w:rsidR="002A68BF" w:rsidRDefault="002A68BF">
      <w:pPr>
        <w:spacing w:after="0" w:line="240" w:lineRule="auto"/>
        <w:ind w:left="567"/>
        <w:jc w:val="both"/>
        <w:rPr>
          <w:lang w:val="fr-FR"/>
        </w:rPr>
      </w:pPr>
    </w:p>
    <w:p w:rsidR="002A68BF" w:rsidRDefault="002A68BF">
      <w:pPr>
        <w:spacing w:after="0" w:line="240" w:lineRule="auto"/>
        <w:ind w:left="567"/>
        <w:jc w:val="both"/>
        <w:rPr>
          <w:lang w:val="fr-FR"/>
        </w:rPr>
      </w:pPr>
    </w:p>
    <w:p w:rsidR="002A68BF" w:rsidRDefault="002A68BF">
      <w:pPr>
        <w:spacing w:after="0" w:line="240" w:lineRule="auto"/>
        <w:ind w:left="567"/>
        <w:jc w:val="both"/>
        <w:rPr>
          <w:lang w:val="fr-FR"/>
        </w:rPr>
      </w:pPr>
    </w:p>
    <w:p w:rsidR="004755CD" w:rsidRDefault="00AD6629">
      <w:pPr>
        <w:spacing w:after="0" w:line="240" w:lineRule="auto"/>
        <w:ind w:left="567"/>
        <w:jc w:val="both"/>
        <w:rPr>
          <w:lang w:val="fr-FR"/>
        </w:rPr>
      </w:pPr>
      <w:r w:rsidRPr="00AD6629">
        <w:rPr>
          <w:lang w:val="fr-FR"/>
        </w:rPr>
        <w:t xml:space="preserve">Dans le rapport financier la ligne du budget </w:t>
      </w:r>
      <w:r>
        <w:rPr>
          <w:lang w:val="fr-FR"/>
        </w:rPr>
        <w:t>P</w:t>
      </w:r>
      <w:r w:rsidRPr="00AD6629">
        <w:rPr>
          <w:lang w:val="fr-FR"/>
        </w:rPr>
        <w:t>er d</w:t>
      </w:r>
      <w:r>
        <w:rPr>
          <w:lang w:val="fr-FR"/>
        </w:rPr>
        <w:t>iem montrera alors</w:t>
      </w:r>
      <w:r w:rsidR="00E73038">
        <w:rPr>
          <w:lang w:val="fr-FR"/>
        </w:rPr>
        <w:t xml:space="preserve"> :</w:t>
      </w:r>
    </w:p>
    <w:p w:rsidR="00E73038" w:rsidRPr="00AD6629" w:rsidRDefault="00E73038">
      <w:pPr>
        <w:spacing w:after="0" w:line="240" w:lineRule="auto"/>
        <w:ind w:left="567"/>
        <w:jc w:val="both"/>
        <w:rPr>
          <w:lang w:val="fr-FR"/>
        </w:rPr>
      </w:pPr>
    </w:p>
    <w:tbl>
      <w:tblPr>
        <w:tblStyle w:val="TableGrid"/>
        <w:tblW w:w="0" w:type="auto"/>
        <w:tblInd w:w="567" w:type="dxa"/>
        <w:tblLook w:val="04A0" w:firstRow="1" w:lastRow="0" w:firstColumn="1" w:lastColumn="0" w:noHBand="0" w:noVBand="1"/>
      </w:tblPr>
      <w:tblGrid>
        <w:gridCol w:w="2889"/>
        <w:gridCol w:w="2904"/>
        <w:gridCol w:w="2904"/>
      </w:tblGrid>
      <w:tr w:rsidR="003B357C" w:rsidRPr="00A85052" w:rsidTr="00E73038">
        <w:tc>
          <w:tcPr>
            <w:tcW w:w="2889" w:type="dxa"/>
            <w:shd w:val="clear" w:color="auto" w:fill="D9D9D9" w:themeFill="background1" w:themeFillShade="D9"/>
          </w:tcPr>
          <w:p w:rsidR="003B357C" w:rsidRPr="00E73038" w:rsidRDefault="003B357C" w:rsidP="006222C0">
            <w:pPr>
              <w:spacing w:after="0" w:line="240" w:lineRule="auto"/>
              <w:jc w:val="center"/>
              <w:rPr>
                <w:b/>
                <w:lang w:val="fr-FR"/>
              </w:rPr>
            </w:pPr>
            <w:r w:rsidRPr="00E73038">
              <w:rPr>
                <w:b/>
                <w:lang w:val="fr-FR"/>
              </w:rPr>
              <w:t>Nombre d’unités</w:t>
            </w:r>
          </w:p>
        </w:tc>
        <w:tc>
          <w:tcPr>
            <w:tcW w:w="2904" w:type="dxa"/>
            <w:shd w:val="clear" w:color="auto" w:fill="D9D9D9" w:themeFill="background1" w:themeFillShade="D9"/>
          </w:tcPr>
          <w:p w:rsidR="003B357C" w:rsidRPr="00E73038" w:rsidRDefault="003B357C" w:rsidP="006222C0">
            <w:pPr>
              <w:spacing w:after="0" w:line="240" w:lineRule="auto"/>
              <w:jc w:val="center"/>
              <w:rPr>
                <w:b/>
                <w:lang w:val="fr-FR"/>
              </w:rPr>
            </w:pPr>
            <w:r w:rsidRPr="00E73038">
              <w:rPr>
                <w:b/>
                <w:lang w:val="fr-FR"/>
              </w:rPr>
              <w:t>Coût unité</w:t>
            </w:r>
          </w:p>
        </w:tc>
        <w:tc>
          <w:tcPr>
            <w:tcW w:w="2904" w:type="dxa"/>
            <w:shd w:val="clear" w:color="auto" w:fill="D9D9D9" w:themeFill="background1" w:themeFillShade="D9"/>
          </w:tcPr>
          <w:p w:rsidR="003B357C" w:rsidRPr="00E73038" w:rsidRDefault="003B357C" w:rsidP="006222C0">
            <w:pPr>
              <w:spacing w:after="0" w:line="240" w:lineRule="auto"/>
              <w:jc w:val="center"/>
              <w:rPr>
                <w:b/>
                <w:lang w:val="fr-FR"/>
              </w:rPr>
            </w:pPr>
            <w:r w:rsidRPr="00E73038">
              <w:rPr>
                <w:b/>
                <w:lang w:val="fr-FR"/>
              </w:rPr>
              <w:t>Montant total</w:t>
            </w:r>
          </w:p>
        </w:tc>
      </w:tr>
      <w:tr w:rsidR="003B357C" w:rsidRPr="00A85052" w:rsidTr="003B357C">
        <w:tc>
          <w:tcPr>
            <w:tcW w:w="2889" w:type="dxa"/>
          </w:tcPr>
          <w:p w:rsidR="003B357C" w:rsidRPr="00A85052" w:rsidRDefault="003B357C" w:rsidP="00282891">
            <w:pPr>
              <w:spacing w:after="0" w:line="240" w:lineRule="auto"/>
              <w:jc w:val="center"/>
              <w:rPr>
                <w:lang w:val="fr-FR"/>
              </w:rPr>
            </w:pPr>
            <w:r w:rsidRPr="00A85052">
              <w:rPr>
                <w:lang w:val="fr-FR"/>
              </w:rPr>
              <w:t>4</w:t>
            </w:r>
          </w:p>
        </w:tc>
        <w:tc>
          <w:tcPr>
            <w:tcW w:w="2904" w:type="dxa"/>
          </w:tcPr>
          <w:p w:rsidR="003B357C" w:rsidRPr="00A85052" w:rsidRDefault="003B357C" w:rsidP="00282891">
            <w:pPr>
              <w:spacing w:after="0" w:line="240" w:lineRule="auto"/>
              <w:jc w:val="center"/>
              <w:rPr>
                <w:lang w:val="fr-FR"/>
              </w:rPr>
            </w:pPr>
            <w:r w:rsidRPr="00A85052">
              <w:rPr>
                <w:lang w:val="fr-FR"/>
              </w:rPr>
              <w:t>100</w:t>
            </w:r>
          </w:p>
        </w:tc>
        <w:tc>
          <w:tcPr>
            <w:tcW w:w="2904" w:type="dxa"/>
          </w:tcPr>
          <w:p w:rsidR="003B357C" w:rsidRPr="00A85052" w:rsidRDefault="003B357C" w:rsidP="00282891">
            <w:pPr>
              <w:spacing w:after="0" w:line="240" w:lineRule="auto"/>
              <w:jc w:val="center"/>
              <w:rPr>
                <w:lang w:val="fr-FR"/>
              </w:rPr>
            </w:pPr>
            <w:r w:rsidRPr="00A85052">
              <w:rPr>
                <w:lang w:val="fr-FR"/>
              </w:rPr>
              <w:t>400</w:t>
            </w:r>
          </w:p>
        </w:tc>
      </w:tr>
    </w:tbl>
    <w:p w:rsidR="004755CD" w:rsidRPr="00A85052" w:rsidRDefault="004755CD">
      <w:pPr>
        <w:spacing w:after="0" w:line="240" w:lineRule="auto"/>
        <w:ind w:left="567"/>
        <w:jc w:val="both"/>
        <w:rPr>
          <w:lang w:val="fr-FR"/>
        </w:rPr>
      </w:pPr>
    </w:p>
    <w:p w:rsidR="00AD6629" w:rsidRDefault="00841DEA" w:rsidP="00AD6629">
      <w:pPr>
        <w:spacing w:after="0" w:line="240" w:lineRule="auto"/>
        <w:ind w:left="567"/>
        <w:jc w:val="both"/>
        <w:rPr>
          <w:rFonts w:cs="Times New Roman"/>
          <w:color w:val="000000"/>
          <w:lang w:val="fr-FR"/>
        </w:rPr>
      </w:pPr>
      <w:r w:rsidRPr="00E73038">
        <w:rPr>
          <w:b/>
          <w:i/>
          <w:lang w:val="fr-FR"/>
        </w:rPr>
        <w:t>Ex</w:t>
      </w:r>
      <w:r w:rsidR="003B357C" w:rsidRPr="00E73038">
        <w:rPr>
          <w:b/>
          <w:i/>
          <w:lang w:val="fr-FR"/>
        </w:rPr>
        <w:t>e</w:t>
      </w:r>
      <w:r w:rsidRPr="00E73038">
        <w:rPr>
          <w:b/>
          <w:i/>
          <w:lang w:val="fr-FR"/>
        </w:rPr>
        <w:t>mple 2.</w:t>
      </w:r>
      <w:r w:rsidRPr="00A85052">
        <w:rPr>
          <w:lang w:val="fr-FR"/>
        </w:rPr>
        <w:t xml:space="preserve"> </w:t>
      </w:r>
      <w:r w:rsidR="00AD6629" w:rsidRPr="00A85052">
        <w:rPr>
          <w:rFonts w:cs="Times New Roman"/>
          <w:color w:val="000000"/>
          <w:lang w:val="fr-FR"/>
        </w:rPr>
        <w:t xml:space="preserve">L’organisation </w:t>
      </w:r>
      <w:r w:rsidR="00AD6629">
        <w:rPr>
          <w:rFonts w:cs="Times New Roman"/>
          <w:color w:val="000000"/>
          <w:lang w:val="fr-FR"/>
        </w:rPr>
        <w:t>n’</w:t>
      </w:r>
      <w:r w:rsidR="00AD6629" w:rsidRPr="00A85052">
        <w:rPr>
          <w:rFonts w:cs="Times New Roman"/>
          <w:color w:val="000000"/>
          <w:lang w:val="fr-FR"/>
        </w:rPr>
        <w:t>a</w:t>
      </w:r>
      <w:r w:rsidR="00AD6629">
        <w:rPr>
          <w:rFonts w:cs="Times New Roman"/>
          <w:color w:val="000000"/>
          <w:lang w:val="fr-FR"/>
        </w:rPr>
        <w:t xml:space="preserve"> pas de</w:t>
      </w:r>
      <w:r w:rsidR="00AD6629" w:rsidRPr="00A85052">
        <w:rPr>
          <w:rFonts w:cs="Times New Roman"/>
          <w:color w:val="000000"/>
          <w:lang w:val="fr-FR"/>
        </w:rPr>
        <w:t xml:space="preserve"> poli</w:t>
      </w:r>
      <w:r w:rsidR="002A68BF">
        <w:rPr>
          <w:rFonts w:cs="Times New Roman"/>
          <w:color w:val="000000"/>
          <w:lang w:val="fr-FR"/>
        </w:rPr>
        <w:t xml:space="preserve">tique interne </w:t>
      </w:r>
      <w:r w:rsidR="00AD6629" w:rsidRPr="00A85052">
        <w:rPr>
          <w:rFonts w:cs="Times New Roman"/>
          <w:color w:val="000000"/>
          <w:lang w:val="fr-FR"/>
        </w:rPr>
        <w:t>en matière de déplacement avec des taux de per diem fixes.</w:t>
      </w:r>
    </w:p>
    <w:p w:rsidR="002A68BF" w:rsidRPr="00A85052" w:rsidRDefault="002A68BF" w:rsidP="00AD6629">
      <w:pPr>
        <w:spacing w:after="0" w:line="240" w:lineRule="auto"/>
        <w:ind w:left="567"/>
        <w:jc w:val="both"/>
        <w:rPr>
          <w:rFonts w:cs="Times New Roman"/>
          <w:color w:val="000000"/>
          <w:lang w:val="fr-FR"/>
        </w:rPr>
      </w:pPr>
    </w:p>
    <w:p w:rsidR="00841DEA" w:rsidRDefault="00AD6629" w:rsidP="00841DEA">
      <w:pPr>
        <w:spacing w:after="0" w:line="240" w:lineRule="auto"/>
        <w:ind w:left="567"/>
        <w:jc w:val="both"/>
        <w:rPr>
          <w:lang w:val="fr-FR"/>
        </w:rPr>
      </w:pPr>
      <w:r>
        <w:rPr>
          <w:lang w:val="fr-FR"/>
        </w:rPr>
        <w:t xml:space="preserve">Un chargé de mission part en déplacement pour une mission de terrain à la destination </w:t>
      </w:r>
      <w:r w:rsidRPr="00A85052">
        <w:rPr>
          <w:lang w:val="fr-FR"/>
        </w:rPr>
        <w:t xml:space="preserve">A </w:t>
      </w:r>
      <w:r>
        <w:rPr>
          <w:lang w:val="fr-FR"/>
        </w:rPr>
        <w:t xml:space="preserve">du </w:t>
      </w:r>
      <w:r w:rsidRPr="00A85052">
        <w:rPr>
          <w:lang w:val="fr-FR"/>
        </w:rPr>
        <w:t xml:space="preserve">12/10 </w:t>
      </w:r>
      <w:r>
        <w:rPr>
          <w:lang w:val="fr-FR"/>
        </w:rPr>
        <w:t>au</w:t>
      </w:r>
      <w:r w:rsidRPr="00A85052">
        <w:rPr>
          <w:lang w:val="fr-FR"/>
        </w:rPr>
        <w:t xml:space="preserve"> 16/10, i.e. </w:t>
      </w:r>
      <w:r>
        <w:rPr>
          <w:lang w:val="fr-FR"/>
        </w:rPr>
        <w:t>4 nuits</w:t>
      </w:r>
      <w:r w:rsidRPr="00A85052">
        <w:rPr>
          <w:lang w:val="fr-FR"/>
        </w:rPr>
        <w:t>.</w:t>
      </w:r>
      <w:r>
        <w:rPr>
          <w:lang w:val="fr-FR"/>
        </w:rPr>
        <w:t xml:space="preserve"> Pendant ce temps il/ elle dépense </w:t>
      </w:r>
      <w:r w:rsidR="00841DEA" w:rsidRPr="00AD6629">
        <w:rPr>
          <w:lang w:val="fr-FR"/>
        </w:rPr>
        <w:t>200€</w:t>
      </w:r>
      <w:r w:rsidRPr="00AD6629">
        <w:rPr>
          <w:lang w:val="fr-FR"/>
        </w:rPr>
        <w:t xml:space="preserve"> d’h</w:t>
      </w:r>
      <w:r>
        <w:rPr>
          <w:lang w:val="fr-FR"/>
        </w:rPr>
        <w:t xml:space="preserve">ôtel et </w:t>
      </w:r>
      <w:r w:rsidR="00841DEA" w:rsidRPr="00AD6629">
        <w:rPr>
          <w:lang w:val="fr-FR"/>
        </w:rPr>
        <w:t>160€</w:t>
      </w:r>
      <w:r>
        <w:rPr>
          <w:lang w:val="fr-FR"/>
        </w:rPr>
        <w:t xml:space="preserve"> de repas</w:t>
      </w:r>
      <w:r w:rsidR="00841DEA" w:rsidRPr="00AD6629">
        <w:rPr>
          <w:lang w:val="fr-FR"/>
        </w:rPr>
        <w:t xml:space="preserve">. </w:t>
      </w:r>
      <w:r w:rsidRPr="00AD6629">
        <w:rPr>
          <w:lang w:val="fr-FR"/>
        </w:rPr>
        <w:t xml:space="preserve">Toutes les factures sont transmises à la comptabilité, enregistrées et rentrées dans </w:t>
      </w:r>
      <w:r>
        <w:rPr>
          <w:lang w:val="fr-FR"/>
        </w:rPr>
        <w:t>le s</w:t>
      </w:r>
      <w:r w:rsidRPr="00AD6629">
        <w:rPr>
          <w:lang w:val="fr-FR"/>
        </w:rPr>
        <w:t>y</w:t>
      </w:r>
      <w:r>
        <w:rPr>
          <w:lang w:val="fr-FR"/>
        </w:rPr>
        <w:t>stème comptable</w:t>
      </w:r>
      <w:r w:rsidR="00516339" w:rsidRPr="00AD6629">
        <w:rPr>
          <w:lang w:val="fr-FR"/>
        </w:rPr>
        <w:t>.</w:t>
      </w:r>
    </w:p>
    <w:p w:rsidR="00E73038" w:rsidRPr="00AD6629" w:rsidRDefault="00E73038" w:rsidP="00841DEA">
      <w:pPr>
        <w:spacing w:after="0" w:line="240" w:lineRule="auto"/>
        <w:ind w:left="567"/>
        <w:jc w:val="both"/>
        <w:rPr>
          <w:lang w:val="fr-FR"/>
        </w:rPr>
      </w:pPr>
    </w:p>
    <w:p w:rsidR="00841DEA" w:rsidRDefault="00AD6629" w:rsidP="00841DEA">
      <w:pPr>
        <w:spacing w:after="0" w:line="240" w:lineRule="auto"/>
        <w:ind w:left="567"/>
        <w:jc w:val="both"/>
        <w:rPr>
          <w:lang w:val="fr-FR"/>
        </w:rPr>
      </w:pPr>
      <w:r w:rsidRPr="00AD6629">
        <w:rPr>
          <w:lang w:val="fr-FR"/>
        </w:rPr>
        <w:t>Dans le rapport financier la ligne du budget Per diem montrera alors</w:t>
      </w:r>
      <w:r w:rsidR="00E73038">
        <w:rPr>
          <w:lang w:val="fr-FR"/>
        </w:rPr>
        <w:t xml:space="preserve"> </w:t>
      </w:r>
      <w:r w:rsidRPr="00AD6629">
        <w:rPr>
          <w:lang w:val="fr-FR"/>
        </w:rPr>
        <w:t>:</w:t>
      </w:r>
    </w:p>
    <w:p w:rsidR="00E73038" w:rsidRPr="00A85052" w:rsidRDefault="00E73038" w:rsidP="00841DEA">
      <w:pPr>
        <w:spacing w:after="0" w:line="240" w:lineRule="auto"/>
        <w:ind w:left="567"/>
        <w:jc w:val="both"/>
        <w:rPr>
          <w:lang w:val="fr-FR"/>
        </w:rPr>
      </w:pPr>
    </w:p>
    <w:tbl>
      <w:tblPr>
        <w:tblStyle w:val="TableGrid"/>
        <w:tblW w:w="0" w:type="auto"/>
        <w:tblInd w:w="567" w:type="dxa"/>
        <w:tblLook w:val="04A0" w:firstRow="1" w:lastRow="0" w:firstColumn="1" w:lastColumn="0" w:noHBand="0" w:noVBand="1"/>
      </w:tblPr>
      <w:tblGrid>
        <w:gridCol w:w="2905"/>
        <w:gridCol w:w="2882"/>
        <w:gridCol w:w="2910"/>
      </w:tblGrid>
      <w:tr w:rsidR="003B357C" w:rsidRPr="00A85052" w:rsidTr="00E73038">
        <w:tc>
          <w:tcPr>
            <w:tcW w:w="3088" w:type="dxa"/>
            <w:shd w:val="clear" w:color="auto" w:fill="D9D9D9" w:themeFill="background1" w:themeFillShade="D9"/>
          </w:tcPr>
          <w:p w:rsidR="00841DEA" w:rsidRPr="00E73038" w:rsidRDefault="00841DEA" w:rsidP="003B357C">
            <w:pPr>
              <w:spacing w:after="0" w:line="240" w:lineRule="auto"/>
              <w:jc w:val="center"/>
              <w:rPr>
                <w:b/>
                <w:lang w:val="fr-FR"/>
              </w:rPr>
            </w:pPr>
            <w:r w:rsidRPr="00E73038">
              <w:rPr>
                <w:b/>
                <w:lang w:val="fr-FR"/>
              </w:rPr>
              <w:t>N</w:t>
            </w:r>
            <w:r w:rsidR="003B357C" w:rsidRPr="00E73038">
              <w:rPr>
                <w:b/>
                <w:lang w:val="fr-FR"/>
              </w:rPr>
              <w:t>ombre d’unités</w:t>
            </w:r>
          </w:p>
        </w:tc>
        <w:tc>
          <w:tcPr>
            <w:tcW w:w="3088" w:type="dxa"/>
            <w:shd w:val="clear" w:color="auto" w:fill="D9D9D9" w:themeFill="background1" w:themeFillShade="D9"/>
          </w:tcPr>
          <w:p w:rsidR="00841DEA" w:rsidRPr="00E73038" w:rsidRDefault="003B357C" w:rsidP="003B357C">
            <w:pPr>
              <w:spacing w:after="0" w:line="240" w:lineRule="auto"/>
              <w:jc w:val="center"/>
              <w:rPr>
                <w:b/>
                <w:lang w:val="fr-FR"/>
              </w:rPr>
            </w:pPr>
            <w:r w:rsidRPr="00E73038">
              <w:rPr>
                <w:b/>
                <w:lang w:val="fr-FR"/>
              </w:rPr>
              <w:t>Coût unité</w:t>
            </w:r>
          </w:p>
        </w:tc>
        <w:tc>
          <w:tcPr>
            <w:tcW w:w="3088" w:type="dxa"/>
            <w:shd w:val="clear" w:color="auto" w:fill="D9D9D9" w:themeFill="background1" w:themeFillShade="D9"/>
          </w:tcPr>
          <w:p w:rsidR="00841DEA" w:rsidRPr="00E73038" w:rsidRDefault="003B357C" w:rsidP="003B357C">
            <w:pPr>
              <w:spacing w:after="0" w:line="240" w:lineRule="auto"/>
              <w:jc w:val="center"/>
              <w:rPr>
                <w:b/>
                <w:lang w:val="fr-FR"/>
              </w:rPr>
            </w:pPr>
            <w:r w:rsidRPr="00E73038">
              <w:rPr>
                <w:b/>
                <w:lang w:val="fr-FR"/>
              </w:rPr>
              <w:t>Montant total</w:t>
            </w:r>
          </w:p>
        </w:tc>
      </w:tr>
      <w:tr w:rsidR="003B357C" w:rsidRPr="00A85052" w:rsidTr="00C42BB0">
        <w:tc>
          <w:tcPr>
            <w:tcW w:w="3088" w:type="dxa"/>
          </w:tcPr>
          <w:p w:rsidR="00841DEA" w:rsidRPr="00A85052" w:rsidRDefault="00841DEA" w:rsidP="00C42BB0">
            <w:pPr>
              <w:spacing w:after="0" w:line="240" w:lineRule="auto"/>
              <w:jc w:val="center"/>
              <w:rPr>
                <w:lang w:val="fr-FR"/>
              </w:rPr>
            </w:pPr>
            <w:r w:rsidRPr="00A85052">
              <w:rPr>
                <w:lang w:val="fr-FR"/>
              </w:rPr>
              <w:t>4</w:t>
            </w:r>
          </w:p>
        </w:tc>
        <w:tc>
          <w:tcPr>
            <w:tcW w:w="3088" w:type="dxa"/>
          </w:tcPr>
          <w:p w:rsidR="00841DEA" w:rsidRPr="00A85052" w:rsidRDefault="00841DEA" w:rsidP="00C42BB0">
            <w:pPr>
              <w:spacing w:after="0" w:line="240" w:lineRule="auto"/>
              <w:jc w:val="center"/>
              <w:rPr>
                <w:lang w:val="fr-FR"/>
              </w:rPr>
            </w:pPr>
            <w:r w:rsidRPr="00A85052">
              <w:rPr>
                <w:lang w:val="fr-FR"/>
              </w:rPr>
              <w:t>90</w:t>
            </w:r>
          </w:p>
        </w:tc>
        <w:tc>
          <w:tcPr>
            <w:tcW w:w="3088" w:type="dxa"/>
          </w:tcPr>
          <w:p w:rsidR="00841DEA" w:rsidRPr="00A85052" w:rsidRDefault="00841DEA" w:rsidP="00C42BB0">
            <w:pPr>
              <w:spacing w:after="0" w:line="240" w:lineRule="auto"/>
              <w:jc w:val="center"/>
              <w:rPr>
                <w:lang w:val="fr-FR"/>
              </w:rPr>
            </w:pPr>
            <w:r w:rsidRPr="00A85052">
              <w:rPr>
                <w:lang w:val="fr-FR"/>
              </w:rPr>
              <w:t>360</w:t>
            </w:r>
          </w:p>
        </w:tc>
      </w:tr>
    </w:tbl>
    <w:p w:rsidR="00CD40E0" w:rsidRPr="00D865CA" w:rsidRDefault="00C214A5">
      <w:pPr>
        <w:pStyle w:val="Heading1"/>
        <w:numPr>
          <w:ilvl w:val="0"/>
          <w:numId w:val="4"/>
        </w:numPr>
        <w:ind w:left="851" w:hanging="851"/>
        <w:rPr>
          <w:lang w:val="fr-FR"/>
        </w:rPr>
      </w:pPr>
      <w:r w:rsidRPr="00D865CA">
        <w:rPr>
          <w:lang w:val="fr-FR"/>
        </w:rPr>
        <w:t>Options</w:t>
      </w:r>
      <w:r w:rsidR="00F0370F">
        <w:rPr>
          <w:lang w:val="fr-FR"/>
        </w:rPr>
        <w:t xml:space="preserve"> de coût</w:t>
      </w:r>
      <w:r w:rsidR="00BE79C6">
        <w:rPr>
          <w:lang w:val="fr-FR"/>
        </w:rPr>
        <w:t>s</w:t>
      </w:r>
      <w:r w:rsidR="00F0370F">
        <w:rPr>
          <w:lang w:val="fr-FR"/>
        </w:rPr>
        <w:t xml:space="preserve"> simplifiés</w:t>
      </w:r>
    </w:p>
    <w:p w:rsidR="007A3802" w:rsidRPr="00BA6FD8" w:rsidRDefault="007A3802" w:rsidP="000F6A18">
      <w:pPr>
        <w:ind w:left="567"/>
        <w:jc w:val="both"/>
        <w:rPr>
          <w:lang w:val="fr-FR"/>
        </w:rPr>
      </w:pPr>
      <w:r w:rsidRPr="00BA6FD8">
        <w:rPr>
          <w:lang w:val="fr-FR"/>
        </w:rPr>
        <w:t>Dans le cadre de l’option de coûts simplifies le</w:t>
      </w:r>
      <w:r>
        <w:rPr>
          <w:lang w:val="fr-FR"/>
        </w:rPr>
        <w:t>s</w:t>
      </w:r>
      <w:r w:rsidRPr="00BA6FD8">
        <w:rPr>
          <w:lang w:val="fr-FR"/>
        </w:rPr>
        <w:t xml:space="preserve"> co</w:t>
      </w:r>
      <w:r w:rsidRPr="007A3802">
        <w:rPr>
          <w:lang w:val="fr-FR"/>
        </w:rPr>
        <w:t>ût</w:t>
      </w:r>
      <w:r>
        <w:rPr>
          <w:lang w:val="fr-FR"/>
        </w:rPr>
        <w:t>s</w:t>
      </w:r>
      <w:r w:rsidRPr="007A3802">
        <w:rPr>
          <w:lang w:val="fr-FR"/>
        </w:rPr>
        <w:t xml:space="preserve"> unitaire</w:t>
      </w:r>
      <w:r>
        <w:rPr>
          <w:lang w:val="fr-FR"/>
        </w:rPr>
        <w:t>s</w:t>
      </w:r>
      <w:r w:rsidRPr="007A3802">
        <w:rPr>
          <w:lang w:val="fr-FR"/>
        </w:rPr>
        <w:t xml:space="preserve"> </w:t>
      </w:r>
      <w:r>
        <w:rPr>
          <w:lang w:val="fr-FR"/>
        </w:rPr>
        <w:t xml:space="preserve">sont établis avant la signature du contrat de subvention après avoir vérifié </w:t>
      </w:r>
      <w:r w:rsidR="00BA6FD8">
        <w:rPr>
          <w:lang w:val="fr-FR"/>
        </w:rPr>
        <w:t>qu’ils sont plausibles et raisonnables.</w:t>
      </w:r>
    </w:p>
    <w:p w:rsidR="007A3802" w:rsidRPr="00BA6FD8" w:rsidRDefault="00BA6FD8" w:rsidP="000F6A18">
      <w:pPr>
        <w:ind w:left="567"/>
        <w:jc w:val="both"/>
        <w:rPr>
          <w:lang w:val="fr-FR"/>
        </w:rPr>
      </w:pPr>
      <w:r>
        <w:rPr>
          <w:lang w:val="fr-FR"/>
        </w:rPr>
        <w:t>À condition qu’il n’existe pas de variations significatives dans les coûts unitaires, le rapportage se présente comme suit :</w:t>
      </w:r>
    </w:p>
    <w:p w:rsidR="00BA6FD8" w:rsidRPr="00BA6FD8" w:rsidRDefault="00BA6FD8" w:rsidP="000F6A18">
      <w:pPr>
        <w:ind w:left="567"/>
        <w:jc w:val="both"/>
        <w:rPr>
          <w:b/>
          <w:lang w:val="fr-FR"/>
        </w:rPr>
      </w:pPr>
      <w:r w:rsidRPr="00BA6FD8">
        <w:rPr>
          <w:lang w:val="fr-FR"/>
        </w:rPr>
        <w:t xml:space="preserve">Nombre d’unités </w:t>
      </w:r>
      <w:r w:rsidRPr="00BA6FD8">
        <w:rPr>
          <w:b/>
          <w:lang w:val="fr-FR"/>
        </w:rPr>
        <w:t>x</w:t>
      </w:r>
      <w:r w:rsidRPr="00BA6FD8">
        <w:rPr>
          <w:lang w:val="fr-FR"/>
        </w:rPr>
        <w:t xml:space="preserve"> coût </w:t>
      </w:r>
      <w:r>
        <w:rPr>
          <w:lang w:val="fr-FR"/>
        </w:rPr>
        <w:t>par unité</w:t>
      </w:r>
      <w:r w:rsidRPr="00BA6FD8">
        <w:rPr>
          <w:lang w:val="fr-FR"/>
        </w:rPr>
        <w:t xml:space="preserve"> dans le budget approuvé</w:t>
      </w:r>
    </w:p>
    <w:p w:rsidR="00CD40E0" w:rsidRPr="00D865CA" w:rsidRDefault="00C214A5">
      <w:pPr>
        <w:ind w:left="567"/>
        <w:rPr>
          <w:lang w:val="fr-FR"/>
        </w:rPr>
      </w:pPr>
      <w:proofErr w:type="spellStart"/>
      <w:r w:rsidRPr="00D865CA">
        <w:rPr>
          <w:lang w:val="fr-FR"/>
        </w:rPr>
        <w:t>e.g</w:t>
      </w:r>
      <w:proofErr w:type="spellEnd"/>
      <w:r w:rsidRPr="00D865CA">
        <w:rPr>
          <w:lang w:val="fr-FR"/>
        </w:rPr>
        <w:t>.</w:t>
      </w:r>
    </w:p>
    <w:p w:rsidR="00CD40E0" w:rsidRPr="00D865CA" w:rsidRDefault="00C214A5">
      <w:pPr>
        <w:ind w:left="567"/>
        <w:rPr>
          <w:b/>
          <w:i/>
          <w:lang w:val="fr-FR"/>
        </w:rPr>
      </w:pPr>
      <w:r w:rsidRPr="00D865CA">
        <w:rPr>
          <w:b/>
          <w:i/>
          <w:lang w:val="fr-FR"/>
        </w:rPr>
        <w:t>Budget</w:t>
      </w:r>
    </w:p>
    <w:tbl>
      <w:tblPr>
        <w:tblStyle w:val="TableGrid"/>
        <w:tblW w:w="8697" w:type="dxa"/>
        <w:tblInd w:w="562" w:type="dxa"/>
        <w:tblCellMar>
          <w:left w:w="103" w:type="dxa"/>
        </w:tblCellMar>
        <w:tblLook w:val="04A0" w:firstRow="1" w:lastRow="0" w:firstColumn="1" w:lastColumn="0" w:noHBand="0" w:noVBand="1"/>
      </w:tblPr>
      <w:tblGrid>
        <w:gridCol w:w="3227"/>
        <w:gridCol w:w="1276"/>
        <w:gridCol w:w="1417"/>
        <w:gridCol w:w="1416"/>
        <w:gridCol w:w="1361"/>
      </w:tblGrid>
      <w:tr w:rsidR="008E645D" w:rsidRPr="00D865CA" w:rsidTr="00E73038">
        <w:tc>
          <w:tcPr>
            <w:tcW w:w="3227" w:type="dxa"/>
            <w:shd w:val="clear" w:color="auto" w:fill="D9D9D9" w:themeFill="background1" w:themeFillShade="D9"/>
            <w:tcMar>
              <w:left w:w="103" w:type="dxa"/>
            </w:tcMar>
            <w:vAlign w:val="center"/>
          </w:tcPr>
          <w:p w:rsidR="008E645D" w:rsidRPr="00E73038" w:rsidRDefault="008E645D" w:rsidP="00E73038">
            <w:pPr>
              <w:spacing w:after="0" w:line="240" w:lineRule="auto"/>
              <w:jc w:val="center"/>
              <w:rPr>
                <w:b/>
                <w:sz w:val="20"/>
                <w:lang w:val="fr-FR"/>
              </w:rPr>
            </w:pPr>
            <w:r w:rsidRPr="00E73038">
              <w:rPr>
                <w:b/>
                <w:sz w:val="20"/>
                <w:lang w:val="fr-FR"/>
              </w:rPr>
              <w:t>Coût</w:t>
            </w:r>
          </w:p>
        </w:tc>
        <w:tc>
          <w:tcPr>
            <w:tcW w:w="1276" w:type="dxa"/>
            <w:shd w:val="clear" w:color="auto" w:fill="D9D9D9" w:themeFill="background1" w:themeFillShade="D9"/>
            <w:tcMar>
              <w:left w:w="103" w:type="dxa"/>
            </w:tcMar>
            <w:vAlign w:val="center"/>
          </w:tcPr>
          <w:p w:rsidR="008E645D" w:rsidRPr="00E73038" w:rsidRDefault="008E645D" w:rsidP="00E73038">
            <w:pPr>
              <w:spacing w:after="0" w:line="240" w:lineRule="auto"/>
              <w:jc w:val="center"/>
              <w:rPr>
                <w:b/>
                <w:sz w:val="20"/>
                <w:lang w:val="fr-FR"/>
              </w:rPr>
            </w:pPr>
            <w:r w:rsidRPr="00E73038">
              <w:rPr>
                <w:b/>
                <w:sz w:val="20"/>
                <w:lang w:val="fr-FR"/>
              </w:rPr>
              <w:t>Unité</w:t>
            </w:r>
          </w:p>
        </w:tc>
        <w:tc>
          <w:tcPr>
            <w:tcW w:w="1417" w:type="dxa"/>
            <w:shd w:val="clear" w:color="auto" w:fill="D9D9D9" w:themeFill="background1" w:themeFillShade="D9"/>
            <w:tcMar>
              <w:left w:w="103" w:type="dxa"/>
            </w:tcMar>
            <w:vAlign w:val="center"/>
          </w:tcPr>
          <w:p w:rsidR="008E645D" w:rsidRPr="00E73038" w:rsidRDefault="008E645D" w:rsidP="00E73038">
            <w:pPr>
              <w:spacing w:after="0" w:line="240" w:lineRule="auto"/>
              <w:jc w:val="center"/>
              <w:rPr>
                <w:b/>
                <w:sz w:val="20"/>
                <w:lang w:val="fr-FR"/>
              </w:rPr>
            </w:pPr>
            <w:r w:rsidRPr="00E73038">
              <w:rPr>
                <w:b/>
                <w:sz w:val="20"/>
                <w:lang w:val="fr-FR"/>
              </w:rPr>
              <w:t xml:space="preserve"># </w:t>
            </w:r>
            <w:r w:rsidR="00BA6FD8" w:rsidRPr="00E73038">
              <w:rPr>
                <w:b/>
                <w:sz w:val="20"/>
                <w:lang w:val="fr-FR"/>
              </w:rPr>
              <w:t>d’</w:t>
            </w:r>
            <w:r w:rsidRPr="00E73038">
              <w:rPr>
                <w:b/>
                <w:sz w:val="20"/>
                <w:lang w:val="fr-FR"/>
              </w:rPr>
              <w:t>unités</w:t>
            </w:r>
          </w:p>
        </w:tc>
        <w:tc>
          <w:tcPr>
            <w:tcW w:w="1416" w:type="dxa"/>
            <w:shd w:val="clear" w:color="auto" w:fill="D9D9D9" w:themeFill="background1" w:themeFillShade="D9"/>
            <w:tcMar>
              <w:left w:w="103" w:type="dxa"/>
            </w:tcMar>
            <w:vAlign w:val="center"/>
          </w:tcPr>
          <w:p w:rsidR="008E645D" w:rsidRPr="00E73038" w:rsidRDefault="008E645D" w:rsidP="00E73038">
            <w:pPr>
              <w:spacing w:after="0" w:line="240" w:lineRule="auto"/>
              <w:jc w:val="center"/>
              <w:rPr>
                <w:b/>
                <w:sz w:val="20"/>
                <w:lang w:val="fr-FR"/>
              </w:rPr>
            </w:pPr>
            <w:r w:rsidRPr="00E73038">
              <w:rPr>
                <w:b/>
                <w:sz w:val="20"/>
                <w:lang w:val="fr-FR"/>
              </w:rPr>
              <w:t>Valeur de l’unité (€)</w:t>
            </w:r>
          </w:p>
        </w:tc>
        <w:tc>
          <w:tcPr>
            <w:tcW w:w="1361" w:type="dxa"/>
            <w:shd w:val="clear" w:color="auto" w:fill="D9D9D9" w:themeFill="background1" w:themeFillShade="D9"/>
            <w:tcMar>
              <w:left w:w="103" w:type="dxa"/>
            </w:tcMar>
            <w:vAlign w:val="center"/>
          </w:tcPr>
          <w:p w:rsidR="008E645D" w:rsidRPr="00E73038" w:rsidRDefault="008E645D" w:rsidP="00E73038">
            <w:pPr>
              <w:spacing w:after="0" w:line="240" w:lineRule="auto"/>
              <w:jc w:val="center"/>
              <w:rPr>
                <w:b/>
                <w:sz w:val="20"/>
                <w:lang w:val="fr-FR"/>
              </w:rPr>
            </w:pPr>
            <w:r w:rsidRPr="00E73038">
              <w:rPr>
                <w:b/>
                <w:sz w:val="20"/>
                <w:lang w:val="fr-FR"/>
              </w:rPr>
              <w:t>Coût Total (€)</w:t>
            </w:r>
          </w:p>
        </w:tc>
      </w:tr>
      <w:tr w:rsidR="005D5994" w:rsidRPr="00D865CA">
        <w:tc>
          <w:tcPr>
            <w:tcW w:w="3227" w:type="dxa"/>
            <w:shd w:val="clear" w:color="auto" w:fill="auto"/>
            <w:tcMar>
              <w:left w:w="103" w:type="dxa"/>
            </w:tcMar>
            <w:vAlign w:val="center"/>
          </w:tcPr>
          <w:p w:rsidR="005D5994" w:rsidRPr="00D865CA" w:rsidRDefault="005D5994" w:rsidP="005D5994">
            <w:pPr>
              <w:spacing w:after="0" w:line="240" w:lineRule="auto"/>
              <w:rPr>
                <w:sz w:val="20"/>
                <w:lang w:val="fr-FR"/>
              </w:rPr>
            </w:pPr>
            <w:r w:rsidRPr="00D865CA">
              <w:rPr>
                <w:sz w:val="20"/>
                <w:lang w:val="fr-FR"/>
              </w:rPr>
              <w:t>3.1.1. Bo</w:t>
            </w:r>
            <w:r>
              <w:rPr>
                <w:sz w:val="20"/>
                <w:lang w:val="fr-FR"/>
              </w:rPr>
              <w:t xml:space="preserve">îte de </w:t>
            </w:r>
            <w:r w:rsidRPr="00D865CA">
              <w:rPr>
                <w:sz w:val="20"/>
                <w:lang w:val="fr-FR"/>
              </w:rPr>
              <w:t xml:space="preserve">5 </w:t>
            </w:r>
            <w:r>
              <w:rPr>
                <w:sz w:val="20"/>
                <w:lang w:val="fr-FR"/>
              </w:rPr>
              <w:t>points d’appât</w:t>
            </w:r>
          </w:p>
        </w:tc>
        <w:tc>
          <w:tcPr>
            <w:tcW w:w="1276" w:type="dxa"/>
            <w:shd w:val="clear" w:color="auto" w:fill="auto"/>
            <w:tcMar>
              <w:left w:w="103" w:type="dxa"/>
            </w:tcMar>
            <w:vAlign w:val="center"/>
          </w:tcPr>
          <w:p w:rsidR="005D5994" w:rsidRPr="00D865CA" w:rsidRDefault="005D5994" w:rsidP="006222C0">
            <w:pPr>
              <w:spacing w:after="0" w:line="240" w:lineRule="auto"/>
              <w:jc w:val="center"/>
              <w:rPr>
                <w:sz w:val="20"/>
                <w:lang w:val="fr-FR"/>
              </w:rPr>
            </w:pPr>
            <w:r>
              <w:rPr>
                <w:sz w:val="20"/>
                <w:lang w:val="fr-FR"/>
              </w:rPr>
              <w:t>Coût unitaire</w:t>
            </w:r>
            <w:r w:rsidRPr="00D865CA">
              <w:rPr>
                <w:sz w:val="20"/>
                <w:lang w:val="fr-FR"/>
              </w:rPr>
              <w:t xml:space="preserve"> (p</w:t>
            </w:r>
            <w:r>
              <w:rPr>
                <w:sz w:val="20"/>
                <w:lang w:val="fr-FR"/>
              </w:rPr>
              <w:t>a</w:t>
            </w:r>
            <w:r w:rsidRPr="00D865CA">
              <w:rPr>
                <w:sz w:val="20"/>
                <w:lang w:val="fr-FR"/>
              </w:rPr>
              <w:t>r bo</w:t>
            </w:r>
            <w:r>
              <w:rPr>
                <w:sz w:val="20"/>
                <w:lang w:val="fr-FR"/>
              </w:rPr>
              <w:t>îte</w:t>
            </w:r>
            <w:r w:rsidRPr="00D865CA">
              <w:rPr>
                <w:sz w:val="20"/>
                <w:lang w:val="fr-FR"/>
              </w:rPr>
              <w:t>)</w:t>
            </w:r>
          </w:p>
        </w:tc>
        <w:tc>
          <w:tcPr>
            <w:tcW w:w="1417" w:type="dxa"/>
            <w:shd w:val="clear" w:color="auto" w:fill="auto"/>
            <w:tcMar>
              <w:left w:w="103" w:type="dxa"/>
            </w:tcMar>
            <w:vAlign w:val="center"/>
          </w:tcPr>
          <w:p w:rsidR="005D5994" w:rsidRPr="00D865CA" w:rsidRDefault="005D5994">
            <w:pPr>
              <w:spacing w:after="0" w:line="240" w:lineRule="auto"/>
              <w:jc w:val="center"/>
              <w:rPr>
                <w:sz w:val="20"/>
                <w:lang w:val="fr-FR"/>
              </w:rPr>
            </w:pPr>
            <w:r w:rsidRPr="00D865CA">
              <w:rPr>
                <w:sz w:val="20"/>
                <w:lang w:val="fr-FR"/>
              </w:rPr>
              <w:t>10</w:t>
            </w:r>
          </w:p>
        </w:tc>
        <w:tc>
          <w:tcPr>
            <w:tcW w:w="1416" w:type="dxa"/>
            <w:shd w:val="clear" w:color="auto" w:fill="auto"/>
            <w:tcMar>
              <w:left w:w="103" w:type="dxa"/>
            </w:tcMar>
            <w:vAlign w:val="center"/>
          </w:tcPr>
          <w:p w:rsidR="005D5994" w:rsidRPr="00D865CA" w:rsidRDefault="005D5994">
            <w:pPr>
              <w:spacing w:after="0" w:line="240" w:lineRule="auto"/>
              <w:jc w:val="center"/>
              <w:rPr>
                <w:sz w:val="20"/>
                <w:lang w:val="fr-FR"/>
              </w:rPr>
            </w:pPr>
            <w:r w:rsidRPr="00D865CA">
              <w:rPr>
                <w:sz w:val="20"/>
                <w:lang w:val="fr-FR"/>
              </w:rPr>
              <w:t>40</w:t>
            </w:r>
          </w:p>
        </w:tc>
        <w:tc>
          <w:tcPr>
            <w:tcW w:w="1361" w:type="dxa"/>
            <w:shd w:val="clear" w:color="auto" w:fill="auto"/>
            <w:tcMar>
              <w:left w:w="103" w:type="dxa"/>
            </w:tcMar>
            <w:vAlign w:val="center"/>
          </w:tcPr>
          <w:p w:rsidR="005D5994" w:rsidRPr="00D865CA" w:rsidRDefault="005D5994">
            <w:pPr>
              <w:spacing w:after="0" w:line="240" w:lineRule="auto"/>
              <w:jc w:val="center"/>
              <w:rPr>
                <w:sz w:val="20"/>
                <w:lang w:val="fr-FR"/>
              </w:rPr>
            </w:pPr>
            <w:r w:rsidRPr="00D865CA">
              <w:rPr>
                <w:sz w:val="20"/>
                <w:lang w:val="fr-FR"/>
              </w:rPr>
              <w:t>400</w:t>
            </w:r>
          </w:p>
        </w:tc>
      </w:tr>
      <w:tr w:rsidR="005D5994" w:rsidRPr="00D865CA">
        <w:tc>
          <w:tcPr>
            <w:tcW w:w="3227" w:type="dxa"/>
            <w:shd w:val="clear" w:color="auto" w:fill="auto"/>
            <w:tcMar>
              <w:left w:w="103" w:type="dxa"/>
            </w:tcMar>
            <w:vAlign w:val="center"/>
          </w:tcPr>
          <w:p w:rsidR="005D5994" w:rsidRPr="00D865CA" w:rsidRDefault="005D5994" w:rsidP="005D5994">
            <w:pPr>
              <w:spacing w:after="0" w:line="240" w:lineRule="auto"/>
              <w:rPr>
                <w:sz w:val="20"/>
                <w:lang w:val="fr-FR"/>
              </w:rPr>
            </w:pPr>
            <w:r w:rsidRPr="00D865CA">
              <w:rPr>
                <w:sz w:val="20"/>
                <w:lang w:val="fr-FR"/>
              </w:rPr>
              <w:t xml:space="preserve">5.1.1. Production </w:t>
            </w:r>
            <w:r>
              <w:rPr>
                <w:sz w:val="20"/>
                <w:lang w:val="fr-FR"/>
              </w:rPr>
              <w:t>d’un film sur la biodiversité de l’île X</w:t>
            </w:r>
          </w:p>
        </w:tc>
        <w:tc>
          <w:tcPr>
            <w:tcW w:w="1276" w:type="dxa"/>
            <w:shd w:val="clear" w:color="auto" w:fill="auto"/>
            <w:tcMar>
              <w:left w:w="103" w:type="dxa"/>
            </w:tcMar>
            <w:vAlign w:val="center"/>
          </w:tcPr>
          <w:p w:rsidR="005D5994" w:rsidRPr="00D865CA" w:rsidRDefault="005D5994" w:rsidP="005D5994">
            <w:pPr>
              <w:spacing w:after="0" w:line="240" w:lineRule="auto"/>
              <w:jc w:val="center"/>
              <w:rPr>
                <w:sz w:val="20"/>
                <w:lang w:val="fr-FR"/>
              </w:rPr>
            </w:pPr>
            <w:r w:rsidRPr="00D865CA">
              <w:rPr>
                <w:sz w:val="20"/>
                <w:lang w:val="fr-FR"/>
              </w:rPr>
              <w:t>LUMP SUM (</w:t>
            </w:r>
            <w:r>
              <w:rPr>
                <w:sz w:val="20"/>
                <w:lang w:val="fr-FR"/>
              </w:rPr>
              <w:t>pour le film)</w:t>
            </w:r>
          </w:p>
        </w:tc>
        <w:tc>
          <w:tcPr>
            <w:tcW w:w="1417" w:type="dxa"/>
            <w:shd w:val="clear" w:color="auto" w:fill="auto"/>
            <w:tcMar>
              <w:left w:w="103" w:type="dxa"/>
            </w:tcMar>
            <w:vAlign w:val="center"/>
          </w:tcPr>
          <w:p w:rsidR="005D5994" w:rsidRPr="00D865CA" w:rsidRDefault="005D5994">
            <w:pPr>
              <w:spacing w:after="0" w:line="240" w:lineRule="auto"/>
              <w:jc w:val="center"/>
              <w:rPr>
                <w:sz w:val="20"/>
                <w:lang w:val="fr-FR"/>
              </w:rPr>
            </w:pPr>
            <w:r w:rsidRPr="00D865CA">
              <w:rPr>
                <w:sz w:val="20"/>
                <w:lang w:val="fr-FR"/>
              </w:rPr>
              <w:t>1</w:t>
            </w:r>
          </w:p>
        </w:tc>
        <w:tc>
          <w:tcPr>
            <w:tcW w:w="1416" w:type="dxa"/>
            <w:shd w:val="clear" w:color="auto" w:fill="auto"/>
            <w:tcMar>
              <w:left w:w="103" w:type="dxa"/>
            </w:tcMar>
            <w:vAlign w:val="center"/>
          </w:tcPr>
          <w:p w:rsidR="005D5994" w:rsidRPr="00D865CA" w:rsidRDefault="005D5994">
            <w:pPr>
              <w:spacing w:after="0" w:line="240" w:lineRule="auto"/>
              <w:jc w:val="center"/>
              <w:rPr>
                <w:sz w:val="20"/>
                <w:lang w:val="fr-FR"/>
              </w:rPr>
            </w:pPr>
            <w:r w:rsidRPr="00D865CA">
              <w:rPr>
                <w:sz w:val="20"/>
                <w:lang w:val="fr-FR"/>
              </w:rPr>
              <w:t>500</w:t>
            </w:r>
          </w:p>
        </w:tc>
        <w:tc>
          <w:tcPr>
            <w:tcW w:w="1361" w:type="dxa"/>
            <w:shd w:val="clear" w:color="auto" w:fill="auto"/>
            <w:tcMar>
              <w:left w:w="103" w:type="dxa"/>
            </w:tcMar>
            <w:vAlign w:val="center"/>
          </w:tcPr>
          <w:p w:rsidR="005D5994" w:rsidRPr="00D865CA" w:rsidRDefault="005D5994">
            <w:pPr>
              <w:spacing w:after="0" w:line="240" w:lineRule="auto"/>
              <w:jc w:val="center"/>
              <w:rPr>
                <w:sz w:val="20"/>
                <w:lang w:val="fr-FR"/>
              </w:rPr>
            </w:pPr>
            <w:r w:rsidRPr="00D865CA">
              <w:rPr>
                <w:sz w:val="20"/>
                <w:lang w:val="fr-FR"/>
              </w:rPr>
              <w:t>500</w:t>
            </w:r>
          </w:p>
        </w:tc>
      </w:tr>
    </w:tbl>
    <w:p w:rsidR="00CD40E0" w:rsidRDefault="00CD40E0">
      <w:pPr>
        <w:ind w:left="567"/>
        <w:rPr>
          <w:lang w:val="fr-FR"/>
        </w:rPr>
      </w:pPr>
    </w:p>
    <w:p w:rsidR="00BA6FD8" w:rsidRPr="00D865CA" w:rsidRDefault="00BA6FD8" w:rsidP="000F6A18">
      <w:pPr>
        <w:ind w:left="567"/>
        <w:jc w:val="both"/>
        <w:rPr>
          <w:lang w:val="fr-FR"/>
        </w:rPr>
      </w:pPr>
      <w:r>
        <w:rPr>
          <w:lang w:val="fr-FR"/>
        </w:rPr>
        <w:t>Si 6 boîtes sont achetées au cours de la période du rapportage, le projet déclarera 6 unités à €40 de coût par unité, comme dans le budget approuvé.</w:t>
      </w:r>
    </w:p>
    <w:p w:rsidR="00BA6FD8" w:rsidRDefault="00BA6FD8" w:rsidP="000F6A18">
      <w:pPr>
        <w:ind w:left="567"/>
        <w:jc w:val="both"/>
        <w:rPr>
          <w:lang w:val="fr-FR"/>
        </w:rPr>
      </w:pPr>
      <w:r w:rsidRPr="00BA6FD8">
        <w:rPr>
          <w:lang w:val="fr-FR"/>
        </w:rPr>
        <w:t xml:space="preserve">Si le film sur la biodiversité de l’Isle X a été produit, le coût total </w:t>
      </w:r>
      <w:r>
        <w:rPr>
          <w:lang w:val="fr-FR"/>
        </w:rPr>
        <w:t>pré</w:t>
      </w:r>
      <w:r w:rsidRPr="00BA6FD8">
        <w:rPr>
          <w:lang w:val="fr-FR"/>
        </w:rPr>
        <w:t>vu dans le budget sera déclaré dans le rapport.</w:t>
      </w:r>
      <w:r w:rsidRPr="00BA6FD8" w:rsidDel="00BA6FD8">
        <w:rPr>
          <w:lang w:val="fr-FR"/>
        </w:rPr>
        <w:t xml:space="preserve"> </w:t>
      </w:r>
    </w:p>
    <w:p w:rsidR="000D1F3A" w:rsidRDefault="000D1F3A" w:rsidP="000F6A18">
      <w:pPr>
        <w:ind w:left="567"/>
        <w:jc w:val="both"/>
        <w:rPr>
          <w:lang w:val="fr-FR"/>
        </w:rPr>
      </w:pPr>
    </w:p>
    <w:p w:rsidR="00CD40E0" w:rsidRPr="00D865CA" w:rsidRDefault="008E645D">
      <w:pPr>
        <w:ind w:left="567"/>
        <w:rPr>
          <w:b/>
          <w:i/>
          <w:lang w:val="fr-FR"/>
        </w:rPr>
      </w:pPr>
      <w:r>
        <w:rPr>
          <w:b/>
          <w:i/>
          <w:lang w:val="fr-FR"/>
        </w:rPr>
        <w:t>Rapport financier</w:t>
      </w:r>
    </w:p>
    <w:tbl>
      <w:tblPr>
        <w:tblStyle w:val="TableGrid"/>
        <w:tblW w:w="8697" w:type="dxa"/>
        <w:tblInd w:w="562" w:type="dxa"/>
        <w:tblCellMar>
          <w:left w:w="103" w:type="dxa"/>
        </w:tblCellMar>
        <w:tblLook w:val="04A0" w:firstRow="1" w:lastRow="0" w:firstColumn="1" w:lastColumn="0" w:noHBand="0" w:noVBand="1"/>
      </w:tblPr>
      <w:tblGrid>
        <w:gridCol w:w="3227"/>
        <w:gridCol w:w="1276"/>
        <w:gridCol w:w="1417"/>
        <w:gridCol w:w="1416"/>
        <w:gridCol w:w="1361"/>
      </w:tblGrid>
      <w:tr w:rsidR="00CD40E0" w:rsidRPr="00D865CA" w:rsidTr="00E73038">
        <w:tc>
          <w:tcPr>
            <w:tcW w:w="3227" w:type="dxa"/>
            <w:shd w:val="clear" w:color="auto" w:fill="D9D9D9" w:themeFill="background1" w:themeFillShade="D9"/>
            <w:tcMar>
              <w:left w:w="103" w:type="dxa"/>
            </w:tcMar>
            <w:vAlign w:val="center"/>
          </w:tcPr>
          <w:p w:rsidR="00CD40E0" w:rsidRPr="00E73038" w:rsidRDefault="00C214A5" w:rsidP="00E73038">
            <w:pPr>
              <w:spacing w:after="0" w:line="240" w:lineRule="auto"/>
              <w:jc w:val="center"/>
              <w:rPr>
                <w:b/>
                <w:sz w:val="20"/>
                <w:lang w:val="fr-FR"/>
              </w:rPr>
            </w:pPr>
            <w:r w:rsidRPr="00E73038">
              <w:rPr>
                <w:b/>
                <w:sz w:val="20"/>
                <w:lang w:val="fr-FR"/>
              </w:rPr>
              <w:lastRenderedPageBreak/>
              <w:t>Co</w:t>
            </w:r>
            <w:r w:rsidR="00D36B6E" w:rsidRPr="00E73038">
              <w:rPr>
                <w:b/>
                <w:sz w:val="20"/>
                <w:lang w:val="fr-FR"/>
              </w:rPr>
              <w:t>û</w:t>
            </w:r>
            <w:r w:rsidRPr="00E73038">
              <w:rPr>
                <w:b/>
                <w:sz w:val="20"/>
                <w:lang w:val="fr-FR"/>
              </w:rPr>
              <w:t>t</w:t>
            </w:r>
          </w:p>
        </w:tc>
        <w:tc>
          <w:tcPr>
            <w:tcW w:w="1276" w:type="dxa"/>
            <w:shd w:val="clear" w:color="auto" w:fill="D9D9D9" w:themeFill="background1" w:themeFillShade="D9"/>
            <w:tcMar>
              <w:left w:w="103" w:type="dxa"/>
            </w:tcMar>
            <w:vAlign w:val="center"/>
          </w:tcPr>
          <w:p w:rsidR="00CD40E0" w:rsidRPr="00E73038" w:rsidRDefault="00C214A5" w:rsidP="00E73038">
            <w:pPr>
              <w:spacing w:after="0" w:line="240" w:lineRule="auto"/>
              <w:jc w:val="center"/>
              <w:rPr>
                <w:b/>
                <w:sz w:val="20"/>
                <w:lang w:val="fr-FR"/>
              </w:rPr>
            </w:pPr>
            <w:r w:rsidRPr="00E73038">
              <w:rPr>
                <w:b/>
                <w:sz w:val="20"/>
                <w:lang w:val="fr-FR"/>
              </w:rPr>
              <w:t>Unit</w:t>
            </w:r>
            <w:r w:rsidR="00D36B6E" w:rsidRPr="00E73038">
              <w:rPr>
                <w:b/>
                <w:sz w:val="20"/>
                <w:lang w:val="fr-FR"/>
              </w:rPr>
              <w:t>é</w:t>
            </w:r>
          </w:p>
        </w:tc>
        <w:tc>
          <w:tcPr>
            <w:tcW w:w="1417" w:type="dxa"/>
            <w:shd w:val="clear" w:color="auto" w:fill="D9D9D9" w:themeFill="background1" w:themeFillShade="D9"/>
            <w:tcMar>
              <w:left w:w="103" w:type="dxa"/>
            </w:tcMar>
            <w:vAlign w:val="center"/>
          </w:tcPr>
          <w:p w:rsidR="00CD40E0" w:rsidRPr="00E73038" w:rsidRDefault="00C214A5" w:rsidP="00E73038">
            <w:pPr>
              <w:spacing w:after="0" w:line="240" w:lineRule="auto"/>
              <w:jc w:val="center"/>
              <w:rPr>
                <w:b/>
                <w:sz w:val="20"/>
                <w:lang w:val="fr-FR"/>
              </w:rPr>
            </w:pPr>
            <w:r w:rsidRPr="00E73038">
              <w:rPr>
                <w:b/>
                <w:sz w:val="20"/>
                <w:lang w:val="fr-FR"/>
              </w:rPr>
              <w:t># of unit</w:t>
            </w:r>
            <w:r w:rsidR="00D36B6E" w:rsidRPr="00E73038">
              <w:rPr>
                <w:b/>
                <w:sz w:val="20"/>
                <w:lang w:val="fr-FR"/>
              </w:rPr>
              <w:t>é</w:t>
            </w:r>
            <w:r w:rsidRPr="00E73038">
              <w:rPr>
                <w:b/>
                <w:sz w:val="20"/>
                <w:lang w:val="fr-FR"/>
              </w:rPr>
              <w:t>s</w:t>
            </w:r>
          </w:p>
        </w:tc>
        <w:tc>
          <w:tcPr>
            <w:tcW w:w="1416" w:type="dxa"/>
            <w:shd w:val="clear" w:color="auto" w:fill="D9D9D9" w:themeFill="background1" w:themeFillShade="D9"/>
            <w:tcMar>
              <w:left w:w="103" w:type="dxa"/>
            </w:tcMar>
            <w:vAlign w:val="center"/>
          </w:tcPr>
          <w:p w:rsidR="00CD40E0" w:rsidRPr="00E73038" w:rsidRDefault="00D36B6E" w:rsidP="00E73038">
            <w:pPr>
              <w:spacing w:after="0" w:line="240" w:lineRule="auto"/>
              <w:jc w:val="center"/>
              <w:rPr>
                <w:b/>
                <w:sz w:val="20"/>
                <w:lang w:val="fr-FR"/>
              </w:rPr>
            </w:pPr>
            <w:r w:rsidRPr="00E73038">
              <w:rPr>
                <w:b/>
                <w:sz w:val="20"/>
                <w:lang w:val="fr-FR"/>
              </w:rPr>
              <w:t>Valeur de l’u</w:t>
            </w:r>
            <w:r w:rsidR="00C214A5" w:rsidRPr="00E73038">
              <w:rPr>
                <w:b/>
                <w:sz w:val="20"/>
                <w:lang w:val="fr-FR"/>
              </w:rPr>
              <w:t>nit</w:t>
            </w:r>
            <w:r w:rsidRPr="00E73038">
              <w:rPr>
                <w:b/>
                <w:sz w:val="20"/>
                <w:lang w:val="fr-FR"/>
              </w:rPr>
              <w:t xml:space="preserve">é </w:t>
            </w:r>
            <w:r w:rsidR="00C214A5" w:rsidRPr="00E73038">
              <w:rPr>
                <w:b/>
                <w:sz w:val="20"/>
                <w:lang w:val="fr-FR"/>
              </w:rPr>
              <w:t>(€)</w:t>
            </w:r>
          </w:p>
        </w:tc>
        <w:tc>
          <w:tcPr>
            <w:tcW w:w="1361" w:type="dxa"/>
            <w:shd w:val="clear" w:color="auto" w:fill="D9D9D9" w:themeFill="background1" w:themeFillShade="D9"/>
            <w:tcMar>
              <w:left w:w="103" w:type="dxa"/>
            </w:tcMar>
            <w:vAlign w:val="center"/>
          </w:tcPr>
          <w:p w:rsidR="00CD40E0" w:rsidRPr="00E73038" w:rsidRDefault="00D36B6E" w:rsidP="00E73038">
            <w:pPr>
              <w:spacing w:after="0" w:line="240" w:lineRule="auto"/>
              <w:jc w:val="center"/>
              <w:rPr>
                <w:b/>
                <w:sz w:val="20"/>
                <w:lang w:val="fr-FR"/>
              </w:rPr>
            </w:pPr>
            <w:r w:rsidRPr="00E73038">
              <w:rPr>
                <w:b/>
                <w:sz w:val="20"/>
                <w:lang w:val="fr-FR"/>
              </w:rPr>
              <w:t xml:space="preserve">Coût </w:t>
            </w:r>
            <w:r w:rsidR="00C214A5" w:rsidRPr="00E73038">
              <w:rPr>
                <w:b/>
                <w:sz w:val="20"/>
                <w:lang w:val="fr-FR"/>
              </w:rPr>
              <w:t>Total (€)</w:t>
            </w:r>
          </w:p>
        </w:tc>
      </w:tr>
      <w:tr w:rsidR="00CD40E0" w:rsidRPr="00D865CA">
        <w:tc>
          <w:tcPr>
            <w:tcW w:w="3227" w:type="dxa"/>
            <w:shd w:val="clear" w:color="auto" w:fill="auto"/>
            <w:tcMar>
              <w:left w:w="103" w:type="dxa"/>
            </w:tcMar>
            <w:vAlign w:val="center"/>
          </w:tcPr>
          <w:p w:rsidR="00CD40E0" w:rsidRPr="00D865CA" w:rsidRDefault="00C214A5" w:rsidP="00D36B6E">
            <w:pPr>
              <w:spacing w:after="0" w:line="240" w:lineRule="auto"/>
              <w:rPr>
                <w:sz w:val="20"/>
                <w:lang w:val="fr-FR"/>
              </w:rPr>
            </w:pPr>
            <w:r w:rsidRPr="00D865CA">
              <w:rPr>
                <w:sz w:val="20"/>
                <w:lang w:val="fr-FR"/>
              </w:rPr>
              <w:t>3.1.1. Bo</w:t>
            </w:r>
            <w:r w:rsidR="00D36B6E">
              <w:rPr>
                <w:sz w:val="20"/>
                <w:lang w:val="fr-FR"/>
              </w:rPr>
              <w:t xml:space="preserve">îte de </w:t>
            </w:r>
            <w:r w:rsidRPr="00D865CA">
              <w:rPr>
                <w:sz w:val="20"/>
                <w:lang w:val="fr-FR"/>
              </w:rPr>
              <w:t xml:space="preserve">5 </w:t>
            </w:r>
            <w:r w:rsidR="00D36B6E">
              <w:rPr>
                <w:sz w:val="20"/>
                <w:lang w:val="fr-FR"/>
              </w:rPr>
              <w:t>points d’appât</w:t>
            </w:r>
          </w:p>
        </w:tc>
        <w:tc>
          <w:tcPr>
            <w:tcW w:w="1276" w:type="dxa"/>
            <w:shd w:val="clear" w:color="auto" w:fill="auto"/>
            <w:tcMar>
              <w:left w:w="103" w:type="dxa"/>
            </w:tcMar>
            <w:vAlign w:val="center"/>
          </w:tcPr>
          <w:p w:rsidR="00CD40E0" w:rsidRPr="00D865CA" w:rsidRDefault="00D36B6E" w:rsidP="00D36B6E">
            <w:pPr>
              <w:spacing w:after="0" w:line="240" w:lineRule="auto"/>
              <w:jc w:val="center"/>
              <w:rPr>
                <w:sz w:val="20"/>
                <w:lang w:val="fr-FR"/>
              </w:rPr>
            </w:pPr>
            <w:r>
              <w:rPr>
                <w:sz w:val="20"/>
                <w:lang w:val="fr-FR"/>
              </w:rPr>
              <w:t>Coût unitaire</w:t>
            </w:r>
            <w:r w:rsidR="00C214A5" w:rsidRPr="00D865CA">
              <w:rPr>
                <w:sz w:val="20"/>
                <w:lang w:val="fr-FR"/>
              </w:rPr>
              <w:t xml:space="preserve"> (p</w:t>
            </w:r>
            <w:r>
              <w:rPr>
                <w:sz w:val="20"/>
                <w:lang w:val="fr-FR"/>
              </w:rPr>
              <w:t>a</w:t>
            </w:r>
            <w:r w:rsidR="00C214A5" w:rsidRPr="00D865CA">
              <w:rPr>
                <w:sz w:val="20"/>
                <w:lang w:val="fr-FR"/>
              </w:rPr>
              <w:t>r bo</w:t>
            </w:r>
            <w:r>
              <w:rPr>
                <w:sz w:val="20"/>
                <w:lang w:val="fr-FR"/>
              </w:rPr>
              <w:t>îte</w:t>
            </w:r>
            <w:r w:rsidR="00C214A5" w:rsidRPr="00D865CA">
              <w:rPr>
                <w:sz w:val="20"/>
                <w:lang w:val="fr-FR"/>
              </w:rPr>
              <w:t>)</w:t>
            </w:r>
          </w:p>
        </w:tc>
        <w:tc>
          <w:tcPr>
            <w:tcW w:w="1417" w:type="dxa"/>
            <w:shd w:val="clear" w:color="auto" w:fill="auto"/>
            <w:tcMar>
              <w:left w:w="103" w:type="dxa"/>
            </w:tcMar>
            <w:vAlign w:val="center"/>
          </w:tcPr>
          <w:p w:rsidR="00CD40E0" w:rsidRPr="00D865CA" w:rsidRDefault="00C214A5">
            <w:pPr>
              <w:spacing w:after="0" w:line="240" w:lineRule="auto"/>
              <w:jc w:val="center"/>
              <w:rPr>
                <w:sz w:val="20"/>
                <w:lang w:val="fr-FR"/>
              </w:rPr>
            </w:pPr>
            <w:r w:rsidRPr="00D865CA">
              <w:rPr>
                <w:sz w:val="20"/>
                <w:lang w:val="fr-FR"/>
              </w:rPr>
              <w:t>6</w:t>
            </w:r>
          </w:p>
        </w:tc>
        <w:tc>
          <w:tcPr>
            <w:tcW w:w="1416" w:type="dxa"/>
            <w:shd w:val="clear" w:color="auto" w:fill="auto"/>
            <w:tcMar>
              <w:left w:w="103" w:type="dxa"/>
            </w:tcMar>
            <w:vAlign w:val="center"/>
          </w:tcPr>
          <w:p w:rsidR="00CD40E0" w:rsidRPr="00D865CA" w:rsidRDefault="00C214A5">
            <w:pPr>
              <w:spacing w:after="0" w:line="240" w:lineRule="auto"/>
              <w:jc w:val="center"/>
              <w:rPr>
                <w:sz w:val="20"/>
                <w:lang w:val="fr-FR"/>
              </w:rPr>
            </w:pPr>
            <w:r w:rsidRPr="00D865CA">
              <w:rPr>
                <w:sz w:val="20"/>
                <w:lang w:val="fr-FR"/>
              </w:rPr>
              <w:t>40</w:t>
            </w:r>
          </w:p>
        </w:tc>
        <w:tc>
          <w:tcPr>
            <w:tcW w:w="1361" w:type="dxa"/>
            <w:shd w:val="clear" w:color="auto" w:fill="auto"/>
            <w:tcMar>
              <w:left w:w="103" w:type="dxa"/>
            </w:tcMar>
            <w:vAlign w:val="center"/>
          </w:tcPr>
          <w:p w:rsidR="00CD40E0" w:rsidRPr="00D865CA" w:rsidRDefault="00C214A5">
            <w:pPr>
              <w:spacing w:after="0" w:line="240" w:lineRule="auto"/>
              <w:jc w:val="center"/>
              <w:rPr>
                <w:sz w:val="20"/>
                <w:lang w:val="fr-FR"/>
              </w:rPr>
            </w:pPr>
            <w:r w:rsidRPr="00D865CA">
              <w:rPr>
                <w:sz w:val="20"/>
                <w:lang w:val="fr-FR"/>
              </w:rPr>
              <w:t>240</w:t>
            </w:r>
          </w:p>
        </w:tc>
      </w:tr>
      <w:tr w:rsidR="00CD40E0" w:rsidRPr="00D865CA">
        <w:tc>
          <w:tcPr>
            <w:tcW w:w="3227" w:type="dxa"/>
            <w:shd w:val="clear" w:color="auto" w:fill="auto"/>
            <w:tcMar>
              <w:left w:w="103" w:type="dxa"/>
            </w:tcMar>
            <w:vAlign w:val="center"/>
          </w:tcPr>
          <w:p w:rsidR="00CD40E0" w:rsidRPr="00D865CA" w:rsidRDefault="00C214A5" w:rsidP="00D36B6E">
            <w:pPr>
              <w:spacing w:after="0" w:line="240" w:lineRule="auto"/>
              <w:rPr>
                <w:sz w:val="20"/>
                <w:lang w:val="fr-FR"/>
              </w:rPr>
            </w:pPr>
            <w:r w:rsidRPr="00D865CA">
              <w:rPr>
                <w:sz w:val="20"/>
                <w:lang w:val="fr-FR"/>
              </w:rPr>
              <w:t xml:space="preserve">5.1.1. Production </w:t>
            </w:r>
            <w:r w:rsidR="00D36B6E">
              <w:rPr>
                <w:sz w:val="20"/>
                <w:lang w:val="fr-FR"/>
              </w:rPr>
              <w:t>d’un film sur la biodiversité de l’île X</w:t>
            </w:r>
          </w:p>
        </w:tc>
        <w:tc>
          <w:tcPr>
            <w:tcW w:w="1276" w:type="dxa"/>
            <w:shd w:val="clear" w:color="auto" w:fill="auto"/>
            <w:tcMar>
              <w:left w:w="103" w:type="dxa"/>
            </w:tcMar>
            <w:vAlign w:val="center"/>
          </w:tcPr>
          <w:p w:rsidR="00CD40E0" w:rsidRPr="00D865CA" w:rsidRDefault="00C214A5" w:rsidP="005D5994">
            <w:pPr>
              <w:spacing w:after="0" w:line="240" w:lineRule="auto"/>
              <w:jc w:val="center"/>
              <w:rPr>
                <w:sz w:val="20"/>
                <w:lang w:val="fr-FR"/>
              </w:rPr>
            </w:pPr>
            <w:r w:rsidRPr="00D865CA">
              <w:rPr>
                <w:sz w:val="20"/>
                <w:lang w:val="fr-FR"/>
              </w:rPr>
              <w:t>LUMP SUM (</w:t>
            </w:r>
            <w:r w:rsidR="00D36B6E">
              <w:rPr>
                <w:sz w:val="20"/>
                <w:lang w:val="fr-FR"/>
              </w:rPr>
              <w:t>pour l</w:t>
            </w:r>
            <w:r w:rsidR="005D5994">
              <w:rPr>
                <w:sz w:val="20"/>
                <w:lang w:val="fr-FR"/>
              </w:rPr>
              <w:t>e film</w:t>
            </w:r>
            <w:r w:rsidRPr="00D865CA">
              <w:rPr>
                <w:sz w:val="20"/>
                <w:lang w:val="fr-FR"/>
              </w:rPr>
              <w:t>)</w:t>
            </w:r>
          </w:p>
        </w:tc>
        <w:tc>
          <w:tcPr>
            <w:tcW w:w="1417" w:type="dxa"/>
            <w:shd w:val="clear" w:color="auto" w:fill="auto"/>
            <w:tcMar>
              <w:left w:w="103" w:type="dxa"/>
            </w:tcMar>
            <w:vAlign w:val="center"/>
          </w:tcPr>
          <w:p w:rsidR="00CD40E0" w:rsidRPr="00D865CA" w:rsidRDefault="00C214A5">
            <w:pPr>
              <w:spacing w:after="0" w:line="240" w:lineRule="auto"/>
              <w:jc w:val="center"/>
              <w:rPr>
                <w:sz w:val="20"/>
                <w:lang w:val="fr-FR"/>
              </w:rPr>
            </w:pPr>
            <w:r w:rsidRPr="00D865CA">
              <w:rPr>
                <w:sz w:val="20"/>
                <w:lang w:val="fr-FR"/>
              </w:rPr>
              <w:t>1</w:t>
            </w:r>
          </w:p>
        </w:tc>
        <w:tc>
          <w:tcPr>
            <w:tcW w:w="1416" w:type="dxa"/>
            <w:shd w:val="clear" w:color="auto" w:fill="auto"/>
            <w:tcMar>
              <w:left w:w="103" w:type="dxa"/>
            </w:tcMar>
            <w:vAlign w:val="center"/>
          </w:tcPr>
          <w:p w:rsidR="00CD40E0" w:rsidRPr="00D865CA" w:rsidRDefault="00C214A5">
            <w:pPr>
              <w:spacing w:after="0" w:line="240" w:lineRule="auto"/>
              <w:jc w:val="center"/>
              <w:rPr>
                <w:sz w:val="20"/>
                <w:lang w:val="fr-FR"/>
              </w:rPr>
            </w:pPr>
            <w:r w:rsidRPr="00D865CA">
              <w:rPr>
                <w:sz w:val="20"/>
                <w:lang w:val="fr-FR"/>
              </w:rPr>
              <w:t>500</w:t>
            </w:r>
          </w:p>
        </w:tc>
        <w:tc>
          <w:tcPr>
            <w:tcW w:w="1361" w:type="dxa"/>
            <w:shd w:val="clear" w:color="auto" w:fill="auto"/>
            <w:tcMar>
              <w:left w:w="103" w:type="dxa"/>
            </w:tcMar>
            <w:vAlign w:val="center"/>
          </w:tcPr>
          <w:p w:rsidR="00CD40E0" w:rsidRPr="00D865CA" w:rsidRDefault="00C214A5">
            <w:pPr>
              <w:spacing w:after="0" w:line="240" w:lineRule="auto"/>
              <w:jc w:val="center"/>
              <w:rPr>
                <w:sz w:val="20"/>
                <w:lang w:val="fr-FR"/>
              </w:rPr>
            </w:pPr>
            <w:r w:rsidRPr="00D865CA">
              <w:rPr>
                <w:sz w:val="20"/>
                <w:lang w:val="fr-FR"/>
              </w:rPr>
              <w:t>500</w:t>
            </w:r>
          </w:p>
        </w:tc>
      </w:tr>
    </w:tbl>
    <w:p w:rsidR="00CD40E0" w:rsidRPr="00D865CA" w:rsidRDefault="00CD40E0">
      <w:pPr>
        <w:ind w:left="567"/>
        <w:rPr>
          <w:lang w:val="fr-FR"/>
        </w:rPr>
      </w:pPr>
    </w:p>
    <w:p w:rsidR="00BA6FD8" w:rsidRPr="00717B27" w:rsidRDefault="00BA6FD8" w:rsidP="000F6A18">
      <w:pPr>
        <w:ind w:left="567"/>
        <w:jc w:val="both"/>
        <w:rPr>
          <w:u w:val="single"/>
          <w:lang w:val="fr-FR"/>
        </w:rPr>
      </w:pPr>
      <w:r w:rsidRPr="00717B27">
        <w:rPr>
          <w:lang w:val="fr-FR"/>
        </w:rPr>
        <w:t>Les projets qui utilisent l’option de co</w:t>
      </w:r>
      <w:r>
        <w:rPr>
          <w:lang w:val="fr-FR"/>
        </w:rPr>
        <w:t xml:space="preserve">ûts simplifiés </w:t>
      </w:r>
      <w:r w:rsidRPr="00863A6A">
        <w:rPr>
          <w:b/>
          <w:u w:val="single"/>
          <w:lang w:val="fr-FR"/>
        </w:rPr>
        <w:t xml:space="preserve">sont obligés </w:t>
      </w:r>
      <w:r w:rsidR="002A68BF">
        <w:rPr>
          <w:b/>
          <w:u w:val="single"/>
          <w:lang w:val="fr-FR"/>
        </w:rPr>
        <w:t>de</w:t>
      </w:r>
      <w:r w:rsidR="00717B27" w:rsidRPr="00863A6A">
        <w:rPr>
          <w:b/>
          <w:u w:val="single"/>
          <w:lang w:val="fr-FR"/>
        </w:rPr>
        <w:t xml:space="preserve"> </w:t>
      </w:r>
      <w:r w:rsidRPr="00863A6A">
        <w:rPr>
          <w:b/>
          <w:u w:val="single"/>
          <w:lang w:val="fr-FR"/>
        </w:rPr>
        <w:t>garder toutes les pièces justificatives pour étayer les coûts réels encourus</w:t>
      </w:r>
      <w:r w:rsidR="00717B27" w:rsidRPr="00863A6A">
        <w:rPr>
          <w:b/>
          <w:u w:val="single"/>
          <w:lang w:val="fr-FR"/>
        </w:rPr>
        <w:t xml:space="preserve">, ces pièces étant nécessaires afin de démontrer que la subvention a </w:t>
      </w:r>
      <w:r w:rsidR="002A68BF">
        <w:rPr>
          <w:b/>
          <w:u w:val="single"/>
          <w:lang w:val="fr-FR"/>
        </w:rPr>
        <w:t xml:space="preserve">bien </w:t>
      </w:r>
      <w:r w:rsidR="00717B27" w:rsidRPr="00863A6A">
        <w:rPr>
          <w:b/>
          <w:u w:val="single"/>
          <w:lang w:val="fr-FR"/>
        </w:rPr>
        <w:t xml:space="preserve">été mise en œuvre. </w:t>
      </w:r>
    </w:p>
    <w:p w:rsidR="00BA6FD8" w:rsidRPr="00717B27" w:rsidRDefault="00717B27" w:rsidP="00717B27">
      <w:pPr>
        <w:ind w:left="567"/>
        <w:jc w:val="both"/>
        <w:rPr>
          <w:lang w:val="fr-FR"/>
        </w:rPr>
      </w:pPr>
      <w:r>
        <w:rPr>
          <w:lang w:val="fr-FR"/>
        </w:rPr>
        <w:t xml:space="preserve">La vérification de rapports financiers pour les projets basés sur l’option de coûts simplifiés sera focalisée sur l’audit du nombre d’unités, avec le but d’établir, par exemple, que le projet a effectivement acheté 6 </w:t>
      </w:r>
      <w:r w:rsidR="00436DDA">
        <w:rPr>
          <w:lang w:val="fr-FR"/>
        </w:rPr>
        <w:t>points</w:t>
      </w:r>
      <w:r>
        <w:rPr>
          <w:lang w:val="fr-FR"/>
        </w:rPr>
        <w:t xml:space="preserve"> d’appât. L’audit aura pour objectif la vérification des outputs/livrables, tels que vidéos, rapports de réunions, etc., afin de confirmer avec l’exactitude que les livrables ou évènements à la base de coûts déclarés ont été </w:t>
      </w:r>
      <w:proofErr w:type="spellStart"/>
      <w:r>
        <w:rPr>
          <w:lang w:val="fr-FR"/>
        </w:rPr>
        <w:t>g</w:t>
      </w:r>
      <w:r w:rsidR="002A68BF">
        <w:rPr>
          <w:lang w:val="fr-FR"/>
        </w:rPr>
        <w:t>réalisés</w:t>
      </w:r>
      <w:proofErr w:type="spellEnd"/>
      <w:r>
        <w:rPr>
          <w:lang w:val="fr-FR"/>
        </w:rPr>
        <w:t xml:space="preserve"> ou ont eu lieu.</w:t>
      </w:r>
    </w:p>
    <w:p w:rsidR="00436DDA" w:rsidRDefault="00436DDA" w:rsidP="000F6A18">
      <w:pPr>
        <w:ind w:left="567"/>
        <w:jc w:val="both"/>
        <w:rPr>
          <w:lang w:val="fr-FR"/>
        </w:rPr>
      </w:pPr>
      <w:r w:rsidRPr="002A68BF">
        <w:rPr>
          <w:b/>
          <w:lang w:val="fr-FR"/>
        </w:rPr>
        <w:t xml:space="preserve">Par contre, en cas de changement de coûts unitaires et </w:t>
      </w:r>
      <w:r w:rsidR="002A68BF">
        <w:rPr>
          <w:b/>
          <w:lang w:val="fr-FR"/>
        </w:rPr>
        <w:t>d</w:t>
      </w:r>
      <w:r w:rsidRPr="002A68BF">
        <w:rPr>
          <w:b/>
          <w:lang w:val="fr-FR"/>
        </w:rPr>
        <w:t>e nombre d’unités</w:t>
      </w:r>
      <w:r w:rsidRPr="00436DDA">
        <w:rPr>
          <w:lang w:val="fr-FR"/>
        </w:rPr>
        <w:t xml:space="preserve"> pendant la mise en œuvre du projet, les coûts r</w:t>
      </w:r>
      <w:r>
        <w:rPr>
          <w:lang w:val="fr-FR"/>
        </w:rPr>
        <w:t>é</w:t>
      </w:r>
      <w:r w:rsidRPr="00436DDA">
        <w:rPr>
          <w:lang w:val="fr-FR"/>
        </w:rPr>
        <w:t xml:space="preserve">els doivent être </w:t>
      </w:r>
      <w:r>
        <w:rPr>
          <w:lang w:val="fr-FR"/>
        </w:rPr>
        <w:t>déclaré</w:t>
      </w:r>
      <w:r w:rsidRPr="00436DDA">
        <w:rPr>
          <w:lang w:val="fr-FR"/>
        </w:rPr>
        <w:t xml:space="preserve">s. </w:t>
      </w:r>
      <w:r>
        <w:rPr>
          <w:lang w:val="fr-FR"/>
        </w:rPr>
        <w:t xml:space="preserve">Exemple: le projet achète un point d’appât différent (boîtes de 7) ce qui est différent par rapport aux prévisions budgétaires approuvées. </w:t>
      </w:r>
    </w:p>
    <w:tbl>
      <w:tblPr>
        <w:tblStyle w:val="TableGrid"/>
        <w:tblW w:w="9171" w:type="dxa"/>
        <w:tblInd w:w="567" w:type="dxa"/>
        <w:tblCellMar>
          <w:left w:w="113" w:type="dxa"/>
        </w:tblCellMar>
        <w:tblLook w:val="0000" w:firstRow="0" w:lastRow="0" w:firstColumn="0" w:lastColumn="0" w:noHBand="0" w:noVBand="0"/>
      </w:tblPr>
      <w:tblGrid>
        <w:gridCol w:w="3403"/>
        <w:gridCol w:w="1344"/>
        <w:gridCol w:w="1494"/>
        <w:gridCol w:w="1495"/>
        <w:gridCol w:w="1435"/>
      </w:tblGrid>
      <w:tr w:rsidR="00CD40E0" w:rsidRPr="007562BC" w:rsidTr="00E73038">
        <w:tc>
          <w:tcPr>
            <w:tcW w:w="3403" w:type="dxa"/>
            <w:shd w:val="clear" w:color="auto" w:fill="D9D9D9" w:themeFill="background1" w:themeFillShade="D9"/>
            <w:vAlign w:val="center"/>
          </w:tcPr>
          <w:p w:rsidR="00CD40E0" w:rsidRPr="00E73038" w:rsidRDefault="00C214A5" w:rsidP="00E73038">
            <w:pPr>
              <w:spacing w:after="0" w:line="240" w:lineRule="auto"/>
              <w:jc w:val="center"/>
              <w:rPr>
                <w:b/>
                <w:sz w:val="20"/>
                <w:lang w:val="fr-FR"/>
              </w:rPr>
            </w:pPr>
            <w:r w:rsidRPr="00E73038">
              <w:rPr>
                <w:b/>
                <w:sz w:val="20"/>
                <w:lang w:val="fr-FR"/>
              </w:rPr>
              <w:t>Co</w:t>
            </w:r>
            <w:r w:rsidR="007B223C" w:rsidRPr="00E73038">
              <w:rPr>
                <w:b/>
                <w:sz w:val="20"/>
                <w:lang w:val="fr-FR"/>
              </w:rPr>
              <w:t>û</w:t>
            </w:r>
            <w:r w:rsidRPr="00E73038">
              <w:rPr>
                <w:b/>
                <w:sz w:val="20"/>
                <w:lang w:val="fr-FR"/>
              </w:rPr>
              <w:t>t</w:t>
            </w:r>
          </w:p>
        </w:tc>
        <w:tc>
          <w:tcPr>
            <w:tcW w:w="1344" w:type="dxa"/>
            <w:shd w:val="clear" w:color="auto" w:fill="D9D9D9" w:themeFill="background1" w:themeFillShade="D9"/>
            <w:tcMar>
              <w:left w:w="98" w:type="dxa"/>
            </w:tcMar>
            <w:vAlign w:val="center"/>
          </w:tcPr>
          <w:p w:rsidR="00CD40E0" w:rsidRPr="00E73038" w:rsidRDefault="00C214A5" w:rsidP="00E73038">
            <w:pPr>
              <w:spacing w:after="0" w:line="240" w:lineRule="auto"/>
              <w:jc w:val="center"/>
              <w:rPr>
                <w:b/>
                <w:sz w:val="20"/>
                <w:lang w:val="fr-FR"/>
              </w:rPr>
            </w:pPr>
            <w:r w:rsidRPr="00E73038">
              <w:rPr>
                <w:b/>
                <w:sz w:val="20"/>
                <w:lang w:val="fr-FR"/>
              </w:rPr>
              <w:t>Unit</w:t>
            </w:r>
            <w:r w:rsidR="007B223C" w:rsidRPr="00E73038">
              <w:rPr>
                <w:b/>
                <w:sz w:val="20"/>
                <w:lang w:val="fr-FR"/>
              </w:rPr>
              <w:t>é</w:t>
            </w:r>
          </w:p>
        </w:tc>
        <w:tc>
          <w:tcPr>
            <w:tcW w:w="1494" w:type="dxa"/>
            <w:shd w:val="clear" w:color="auto" w:fill="D9D9D9" w:themeFill="background1" w:themeFillShade="D9"/>
            <w:tcMar>
              <w:left w:w="98" w:type="dxa"/>
            </w:tcMar>
            <w:vAlign w:val="center"/>
          </w:tcPr>
          <w:p w:rsidR="00CD40E0" w:rsidRPr="00E73038" w:rsidRDefault="00C214A5" w:rsidP="00E73038">
            <w:pPr>
              <w:spacing w:after="0" w:line="240" w:lineRule="auto"/>
              <w:jc w:val="center"/>
              <w:rPr>
                <w:b/>
                <w:sz w:val="20"/>
                <w:lang w:val="fr-FR"/>
              </w:rPr>
            </w:pPr>
            <w:r w:rsidRPr="00E73038">
              <w:rPr>
                <w:b/>
                <w:sz w:val="20"/>
                <w:lang w:val="fr-FR"/>
              </w:rPr>
              <w:t xml:space="preserve"># </w:t>
            </w:r>
            <w:r w:rsidR="007B223C" w:rsidRPr="00E73038">
              <w:rPr>
                <w:b/>
                <w:sz w:val="20"/>
                <w:lang w:val="fr-FR"/>
              </w:rPr>
              <w:t>d’unités</w:t>
            </w:r>
          </w:p>
        </w:tc>
        <w:tc>
          <w:tcPr>
            <w:tcW w:w="1495" w:type="dxa"/>
            <w:shd w:val="clear" w:color="auto" w:fill="D9D9D9" w:themeFill="background1" w:themeFillShade="D9"/>
            <w:tcMar>
              <w:left w:w="98" w:type="dxa"/>
            </w:tcMar>
            <w:vAlign w:val="center"/>
          </w:tcPr>
          <w:p w:rsidR="00CD40E0" w:rsidRPr="00E73038" w:rsidRDefault="007B223C" w:rsidP="00E73038">
            <w:pPr>
              <w:spacing w:after="0" w:line="240" w:lineRule="auto"/>
              <w:jc w:val="center"/>
              <w:rPr>
                <w:b/>
                <w:sz w:val="20"/>
                <w:lang w:val="fr-FR"/>
              </w:rPr>
            </w:pPr>
            <w:r w:rsidRPr="00E73038">
              <w:rPr>
                <w:b/>
                <w:sz w:val="20"/>
                <w:lang w:val="fr-FR"/>
              </w:rPr>
              <w:t>Valeur de l’unité</w:t>
            </w:r>
            <w:r w:rsidR="00C214A5" w:rsidRPr="00E73038">
              <w:rPr>
                <w:b/>
                <w:sz w:val="20"/>
                <w:lang w:val="fr-FR"/>
              </w:rPr>
              <w:t xml:space="preserve"> (€)</w:t>
            </w:r>
          </w:p>
        </w:tc>
        <w:tc>
          <w:tcPr>
            <w:tcW w:w="1435" w:type="dxa"/>
            <w:shd w:val="clear" w:color="auto" w:fill="D9D9D9" w:themeFill="background1" w:themeFillShade="D9"/>
            <w:tcMar>
              <w:left w:w="103" w:type="dxa"/>
            </w:tcMar>
            <w:vAlign w:val="center"/>
          </w:tcPr>
          <w:p w:rsidR="00CD40E0" w:rsidRPr="00E73038" w:rsidRDefault="007B223C" w:rsidP="00E73038">
            <w:pPr>
              <w:spacing w:after="0" w:line="240" w:lineRule="auto"/>
              <w:jc w:val="center"/>
              <w:rPr>
                <w:b/>
                <w:sz w:val="20"/>
                <w:lang w:val="fr-FR"/>
              </w:rPr>
            </w:pPr>
            <w:r w:rsidRPr="00E73038">
              <w:rPr>
                <w:b/>
                <w:sz w:val="20"/>
                <w:lang w:val="fr-FR"/>
              </w:rPr>
              <w:t>Coût total</w:t>
            </w:r>
            <w:r w:rsidR="00C214A5" w:rsidRPr="00E73038">
              <w:rPr>
                <w:b/>
                <w:sz w:val="20"/>
                <w:lang w:val="fr-FR"/>
              </w:rPr>
              <w:t xml:space="preserve"> (€)</w:t>
            </w:r>
          </w:p>
        </w:tc>
      </w:tr>
      <w:tr w:rsidR="00CD40E0" w:rsidRPr="007562BC" w:rsidTr="00E73038">
        <w:tc>
          <w:tcPr>
            <w:tcW w:w="3403" w:type="dxa"/>
            <w:shd w:val="clear" w:color="auto" w:fill="auto"/>
            <w:vAlign w:val="center"/>
          </w:tcPr>
          <w:p w:rsidR="00CD40E0" w:rsidRPr="007562BC" w:rsidRDefault="00C214A5" w:rsidP="007B223C">
            <w:pPr>
              <w:spacing w:after="0" w:line="240" w:lineRule="auto"/>
              <w:rPr>
                <w:sz w:val="20"/>
                <w:lang w:val="fr-FR"/>
              </w:rPr>
            </w:pPr>
            <w:r w:rsidRPr="007562BC">
              <w:rPr>
                <w:sz w:val="20"/>
                <w:lang w:val="fr-FR"/>
              </w:rPr>
              <w:t>3.1.1. Bo</w:t>
            </w:r>
            <w:r w:rsidR="007B223C" w:rsidRPr="007562BC">
              <w:rPr>
                <w:sz w:val="20"/>
                <w:lang w:val="fr-FR"/>
              </w:rPr>
              <w:t xml:space="preserve">îte de </w:t>
            </w:r>
            <w:r w:rsidRPr="007562BC">
              <w:rPr>
                <w:sz w:val="20"/>
                <w:lang w:val="fr-FR"/>
              </w:rPr>
              <w:t xml:space="preserve">7 </w:t>
            </w:r>
            <w:r w:rsidR="007B223C" w:rsidRPr="007562BC">
              <w:rPr>
                <w:sz w:val="20"/>
                <w:lang w:val="fr-FR"/>
              </w:rPr>
              <w:t>points d’appâts</w:t>
            </w:r>
          </w:p>
        </w:tc>
        <w:tc>
          <w:tcPr>
            <w:tcW w:w="1344" w:type="dxa"/>
            <w:shd w:val="clear" w:color="auto" w:fill="auto"/>
            <w:tcMar>
              <w:left w:w="98" w:type="dxa"/>
            </w:tcMar>
            <w:vAlign w:val="center"/>
          </w:tcPr>
          <w:p w:rsidR="00CD40E0" w:rsidRPr="007562BC" w:rsidRDefault="00C214A5" w:rsidP="007B223C">
            <w:pPr>
              <w:spacing w:after="0" w:line="240" w:lineRule="auto"/>
              <w:jc w:val="center"/>
              <w:rPr>
                <w:sz w:val="20"/>
                <w:lang w:val="fr-FR"/>
              </w:rPr>
            </w:pPr>
            <w:r w:rsidRPr="007562BC">
              <w:rPr>
                <w:sz w:val="20"/>
                <w:lang w:val="fr-FR"/>
              </w:rPr>
              <w:t>p</w:t>
            </w:r>
            <w:r w:rsidR="007B223C" w:rsidRPr="007562BC">
              <w:rPr>
                <w:sz w:val="20"/>
                <w:lang w:val="fr-FR"/>
              </w:rPr>
              <w:t>a</w:t>
            </w:r>
            <w:r w:rsidRPr="007562BC">
              <w:rPr>
                <w:sz w:val="20"/>
                <w:lang w:val="fr-FR"/>
              </w:rPr>
              <w:t>r bo</w:t>
            </w:r>
            <w:r w:rsidR="007B223C" w:rsidRPr="007562BC">
              <w:rPr>
                <w:sz w:val="20"/>
                <w:lang w:val="fr-FR"/>
              </w:rPr>
              <w:t>îte</w:t>
            </w:r>
          </w:p>
        </w:tc>
        <w:tc>
          <w:tcPr>
            <w:tcW w:w="1494" w:type="dxa"/>
            <w:shd w:val="clear" w:color="auto" w:fill="auto"/>
            <w:tcMar>
              <w:left w:w="98" w:type="dxa"/>
            </w:tcMar>
            <w:vAlign w:val="center"/>
          </w:tcPr>
          <w:p w:rsidR="00CD40E0" w:rsidRPr="007562BC" w:rsidRDefault="00C214A5">
            <w:pPr>
              <w:spacing w:after="0" w:line="240" w:lineRule="auto"/>
              <w:jc w:val="center"/>
              <w:rPr>
                <w:sz w:val="20"/>
                <w:lang w:val="fr-FR"/>
              </w:rPr>
            </w:pPr>
            <w:r w:rsidRPr="007562BC">
              <w:rPr>
                <w:sz w:val="20"/>
                <w:lang w:val="fr-FR"/>
              </w:rPr>
              <w:t>4</w:t>
            </w:r>
          </w:p>
        </w:tc>
        <w:tc>
          <w:tcPr>
            <w:tcW w:w="1495" w:type="dxa"/>
            <w:shd w:val="clear" w:color="auto" w:fill="auto"/>
            <w:tcMar>
              <w:left w:w="98" w:type="dxa"/>
            </w:tcMar>
            <w:vAlign w:val="center"/>
          </w:tcPr>
          <w:p w:rsidR="00CD40E0" w:rsidRPr="007562BC" w:rsidRDefault="00C214A5">
            <w:pPr>
              <w:spacing w:after="0" w:line="240" w:lineRule="auto"/>
              <w:jc w:val="center"/>
              <w:rPr>
                <w:sz w:val="20"/>
                <w:lang w:val="fr-FR"/>
              </w:rPr>
            </w:pPr>
            <w:r w:rsidRPr="007562BC">
              <w:rPr>
                <w:sz w:val="20"/>
                <w:lang w:val="fr-FR"/>
              </w:rPr>
              <w:t>53.50</w:t>
            </w:r>
          </w:p>
        </w:tc>
        <w:tc>
          <w:tcPr>
            <w:tcW w:w="1435" w:type="dxa"/>
            <w:shd w:val="clear" w:color="auto" w:fill="auto"/>
            <w:tcMar>
              <w:left w:w="103" w:type="dxa"/>
            </w:tcMar>
            <w:vAlign w:val="center"/>
          </w:tcPr>
          <w:p w:rsidR="00CD40E0" w:rsidRPr="007562BC" w:rsidRDefault="00C214A5">
            <w:pPr>
              <w:spacing w:after="0" w:line="240" w:lineRule="auto"/>
              <w:jc w:val="center"/>
              <w:rPr>
                <w:sz w:val="20"/>
                <w:lang w:val="fr-FR"/>
              </w:rPr>
            </w:pPr>
            <w:r w:rsidRPr="007562BC">
              <w:rPr>
                <w:sz w:val="20"/>
                <w:lang w:val="fr-FR"/>
              </w:rPr>
              <w:t>214</w:t>
            </w:r>
          </w:p>
        </w:tc>
      </w:tr>
    </w:tbl>
    <w:p w:rsidR="00E73038" w:rsidRDefault="00E73038" w:rsidP="00E73038">
      <w:pPr>
        <w:pStyle w:val="Heading1"/>
        <w:spacing w:before="0" w:after="0"/>
        <w:ind w:left="567"/>
        <w:jc w:val="both"/>
        <w:rPr>
          <w:rFonts w:asciiTheme="minorHAnsi" w:hAnsiTheme="minorHAnsi"/>
          <w:b w:val="0"/>
          <w:color w:val="auto"/>
          <w:sz w:val="22"/>
          <w:szCs w:val="22"/>
          <w:lang w:val="fr-FR"/>
        </w:rPr>
      </w:pPr>
    </w:p>
    <w:p w:rsidR="00E73038" w:rsidRPr="00E73038" w:rsidRDefault="00E73038" w:rsidP="00E73038">
      <w:pPr>
        <w:pStyle w:val="Heading1"/>
        <w:spacing w:before="0" w:after="0"/>
        <w:ind w:left="567"/>
        <w:jc w:val="both"/>
        <w:rPr>
          <w:rFonts w:asciiTheme="minorHAnsi" w:hAnsiTheme="minorHAnsi"/>
          <w:b w:val="0"/>
          <w:color w:val="auto"/>
          <w:sz w:val="22"/>
          <w:szCs w:val="22"/>
          <w:lang w:val="fr-FR"/>
        </w:rPr>
      </w:pPr>
      <w:r w:rsidRPr="00E73038">
        <w:rPr>
          <w:rFonts w:asciiTheme="minorHAnsi" w:hAnsiTheme="minorHAnsi"/>
          <w:b w:val="0"/>
          <w:color w:val="auto"/>
          <w:sz w:val="22"/>
          <w:szCs w:val="22"/>
          <w:lang w:val="fr-FR"/>
        </w:rPr>
        <w:t xml:space="preserve">Si les coûts encourus se révèlent plus élevés que le montant indiqué dans le budget du projet, cela peut être reflété dans le rapport financier, toutefois il doit être noté que </w:t>
      </w:r>
      <w:r w:rsidRPr="00863A6A">
        <w:rPr>
          <w:rFonts w:asciiTheme="minorHAnsi" w:hAnsiTheme="minorHAnsi"/>
          <w:color w:val="auto"/>
          <w:sz w:val="22"/>
          <w:szCs w:val="22"/>
          <w:u w:val="single"/>
          <w:lang w:val="fr-FR"/>
        </w:rPr>
        <w:t>la subvention BEST 2.0 est limitée et plafonnée au montant statué à l’Article 1 des conditions spéciales</w:t>
      </w:r>
      <w:r w:rsidRPr="00E73038">
        <w:rPr>
          <w:rFonts w:asciiTheme="minorHAnsi" w:hAnsiTheme="minorHAnsi"/>
          <w:b w:val="0"/>
          <w:color w:val="auto"/>
          <w:sz w:val="22"/>
          <w:szCs w:val="22"/>
          <w:lang w:val="fr-FR"/>
        </w:rPr>
        <w:t>, la valeur de la subvention BEST 2.0 ne peut être augmentée sous aucune condition ni dépense des bénéficiaires au-delà du montant du contrat.</w:t>
      </w:r>
    </w:p>
    <w:p w:rsidR="00CD40E0" w:rsidRPr="00D865CA" w:rsidRDefault="0029498F">
      <w:pPr>
        <w:pStyle w:val="Heading1"/>
        <w:numPr>
          <w:ilvl w:val="0"/>
          <w:numId w:val="4"/>
        </w:numPr>
        <w:ind w:left="851" w:hanging="851"/>
        <w:rPr>
          <w:lang w:val="fr-FR"/>
        </w:rPr>
      </w:pPr>
      <w:r>
        <w:rPr>
          <w:lang w:val="fr-FR"/>
        </w:rPr>
        <w:t>C</w:t>
      </w:r>
      <w:r w:rsidR="00C214A5" w:rsidRPr="00D865CA">
        <w:rPr>
          <w:lang w:val="fr-FR"/>
        </w:rPr>
        <w:t>onversion</w:t>
      </w:r>
      <w:r>
        <w:rPr>
          <w:lang w:val="fr-FR"/>
        </w:rPr>
        <w:t xml:space="preserve"> monétaire</w:t>
      </w:r>
      <w:r w:rsidR="00C214A5" w:rsidRPr="00D865CA">
        <w:rPr>
          <w:lang w:val="fr-FR"/>
        </w:rPr>
        <w:t>.</w:t>
      </w:r>
    </w:p>
    <w:p w:rsidR="00CD40E0" w:rsidRPr="00D865CA" w:rsidRDefault="00C214A5">
      <w:pPr>
        <w:spacing w:after="0" w:line="240" w:lineRule="auto"/>
        <w:ind w:left="567"/>
        <w:rPr>
          <w:b/>
          <w:bCs/>
          <w:szCs w:val="23"/>
          <w:lang w:val="fr-FR"/>
        </w:rPr>
      </w:pPr>
      <w:r w:rsidRPr="00D865CA">
        <w:rPr>
          <w:b/>
          <w:bCs/>
          <w:szCs w:val="23"/>
          <w:lang w:val="fr-FR"/>
        </w:rPr>
        <w:t xml:space="preserve">VII.1. </w:t>
      </w:r>
      <w:r w:rsidR="0029498F">
        <w:rPr>
          <w:b/>
          <w:bCs/>
          <w:szCs w:val="23"/>
          <w:lang w:val="fr-FR"/>
        </w:rPr>
        <w:t>Taux de change pour le rapportage</w:t>
      </w:r>
    </w:p>
    <w:p w:rsidR="00CD40E0" w:rsidRPr="00D865CA" w:rsidRDefault="00CD40E0">
      <w:pPr>
        <w:spacing w:after="0" w:line="240" w:lineRule="auto"/>
        <w:ind w:left="567"/>
        <w:jc w:val="both"/>
        <w:rPr>
          <w:rFonts w:cs="Times New Roman"/>
          <w:color w:val="000000"/>
          <w:lang w:val="fr-FR"/>
        </w:rPr>
      </w:pPr>
    </w:p>
    <w:p w:rsidR="00CD40E0" w:rsidRPr="00E73038" w:rsidRDefault="007D1054">
      <w:pPr>
        <w:spacing w:after="0" w:line="240" w:lineRule="auto"/>
        <w:ind w:left="567"/>
        <w:jc w:val="both"/>
        <w:rPr>
          <w:bCs/>
          <w:sz w:val="23"/>
          <w:szCs w:val="23"/>
          <w:u w:val="single"/>
          <w:lang w:val="fr-FR"/>
        </w:rPr>
      </w:pPr>
      <w:r w:rsidRPr="00E73038">
        <w:rPr>
          <w:bCs/>
          <w:sz w:val="23"/>
          <w:szCs w:val="23"/>
          <w:lang w:val="fr-FR"/>
        </w:rPr>
        <w:t xml:space="preserve">Cette règle est applicable </w:t>
      </w:r>
      <w:r w:rsidRPr="00E73038">
        <w:rPr>
          <w:b/>
          <w:bCs/>
          <w:sz w:val="23"/>
          <w:szCs w:val="23"/>
          <w:u w:val="single"/>
          <w:lang w:val="fr-FR"/>
        </w:rPr>
        <w:t>uniquement</w:t>
      </w:r>
      <w:r w:rsidRPr="00863A6A">
        <w:rPr>
          <w:bCs/>
          <w:sz w:val="23"/>
          <w:szCs w:val="23"/>
          <w:lang w:val="fr-FR"/>
        </w:rPr>
        <w:t xml:space="preserve"> dans le cas où les compte</w:t>
      </w:r>
      <w:r w:rsidR="007A71DB" w:rsidRPr="00863A6A">
        <w:rPr>
          <w:bCs/>
          <w:sz w:val="23"/>
          <w:szCs w:val="23"/>
          <w:lang w:val="fr-FR"/>
        </w:rPr>
        <w:t>s</w:t>
      </w:r>
      <w:r w:rsidRPr="00863A6A">
        <w:rPr>
          <w:bCs/>
          <w:sz w:val="23"/>
          <w:szCs w:val="23"/>
          <w:lang w:val="fr-FR"/>
        </w:rPr>
        <w:t xml:space="preserve"> de votre organisation sont tenus dans </w:t>
      </w:r>
      <w:r w:rsidR="002A68BF" w:rsidRPr="002A68BF">
        <w:rPr>
          <w:bCs/>
          <w:sz w:val="23"/>
          <w:szCs w:val="23"/>
          <w:highlight w:val="green"/>
          <w:lang w:val="fr-FR"/>
        </w:rPr>
        <w:t xml:space="preserve">une </w:t>
      </w:r>
      <w:r w:rsidR="002A68BF" w:rsidRPr="002A68BF">
        <w:rPr>
          <w:b/>
          <w:bCs/>
          <w:sz w:val="23"/>
          <w:szCs w:val="23"/>
          <w:highlight w:val="green"/>
          <w:lang w:val="fr-FR"/>
        </w:rPr>
        <w:t>devise</w:t>
      </w:r>
      <w:r w:rsidRPr="002A68BF">
        <w:rPr>
          <w:b/>
          <w:bCs/>
          <w:sz w:val="23"/>
          <w:szCs w:val="23"/>
          <w:highlight w:val="green"/>
          <w:lang w:val="fr-FR"/>
        </w:rPr>
        <w:t xml:space="preserve"> </w:t>
      </w:r>
      <w:r w:rsidRPr="00863A6A">
        <w:rPr>
          <w:b/>
          <w:bCs/>
          <w:sz w:val="23"/>
          <w:szCs w:val="23"/>
          <w:highlight w:val="green"/>
          <w:lang w:val="fr-FR"/>
        </w:rPr>
        <w:t>différente</w:t>
      </w:r>
      <w:r w:rsidRPr="00863A6A">
        <w:rPr>
          <w:bCs/>
          <w:sz w:val="23"/>
          <w:szCs w:val="23"/>
          <w:lang w:val="fr-FR"/>
        </w:rPr>
        <w:t xml:space="preserve"> de celle du contrat de subvention, </w:t>
      </w:r>
      <w:r w:rsidR="007A71DB" w:rsidRPr="00863A6A">
        <w:rPr>
          <w:bCs/>
          <w:sz w:val="23"/>
          <w:szCs w:val="23"/>
          <w:lang w:val="fr-FR"/>
        </w:rPr>
        <w:t xml:space="preserve">c’est-à-dire </w:t>
      </w:r>
      <w:r w:rsidR="00AF29DB" w:rsidRPr="00863A6A">
        <w:rPr>
          <w:bCs/>
          <w:sz w:val="23"/>
          <w:szCs w:val="23"/>
          <w:lang w:val="fr-FR"/>
        </w:rPr>
        <w:t>si vos</w:t>
      </w:r>
      <w:r w:rsidR="007A71DB" w:rsidRPr="00863A6A">
        <w:rPr>
          <w:bCs/>
          <w:sz w:val="23"/>
          <w:szCs w:val="23"/>
          <w:lang w:val="fr-FR"/>
        </w:rPr>
        <w:t xml:space="preserve"> </w:t>
      </w:r>
      <w:r w:rsidR="007A71DB" w:rsidRPr="002A68BF">
        <w:rPr>
          <w:b/>
          <w:bCs/>
          <w:sz w:val="23"/>
          <w:szCs w:val="23"/>
          <w:lang w:val="fr-FR"/>
        </w:rPr>
        <w:t xml:space="preserve">comptes ne sont pas </w:t>
      </w:r>
      <w:r w:rsidR="002A68BF">
        <w:rPr>
          <w:b/>
          <w:bCs/>
          <w:sz w:val="23"/>
          <w:szCs w:val="23"/>
          <w:lang w:val="fr-FR"/>
        </w:rPr>
        <w:t xml:space="preserve">tenus </w:t>
      </w:r>
      <w:r w:rsidR="007A71DB" w:rsidRPr="002A68BF">
        <w:rPr>
          <w:b/>
          <w:bCs/>
          <w:sz w:val="23"/>
          <w:szCs w:val="23"/>
          <w:lang w:val="fr-FR"/>
        </w:rPr>
        <w:t>en EURO</w:t>
      </w:r>
      <w:r w:rsidR="007A71DB" w:rsidRPr="00863A6A">
        <w:rPr>
          <w:bCs/>
          <w:sz w:val="23"/>
          <w:szCs w:val="23"/>
          <w:lang w:val="fr-FR"/>
        </w:rPr>
        <w:t>. Dans tous les autres cas il n’</w:t>
      </w:r>
      <w:r w:rsidR="00AF29DB" w:rsidRPr="00863A6A">
        <w:rPr>
          <w:bCs/>
          <w:sz w:val="23"/>
          <w:szCs w:val="23"/>
          <w:lang w:val="fr-FR"/>
        </w:rPr>
        <w:t>y a pas besoin de conversion, car les livres comptables et le rapport financier sont déjà dans la devise du contrat de subvention.</w:t>
      </w:r>
    </w:p>
    <w:p w:rsidR="007D1054" w:rsidRPr="00E73038" w:rsidRDefault="007D1054">
      <w:pPr>
        <w:spacing w:after="0" w:line="240" w:lineRule="auto"/>
        <w:ind w:left="567"/>
        <w:jc w:val="both"/>
        <w:rPr>
          <w:bCs/>
          <w:sz w:val="23"/>
          <w:szCs w:val="23"/>
          <w:lang w:val="fr-FR"/>
        </w:rPr>
      </w:pPr>
    </w:p>
    <w:p w:rsidR="00686A83" w:rsidRPr="00E73038" w:rsidRDefault="00A5419B">
      <w:pPr>
        <w:spacing w:after="0" w:line="240" w:lineRule="auto"/>
        <w:ind w:left="567"/>
        <w:jc w:val="both"/>
        <w:rPr>
          <w:bCs/>
          <w:sz w:val="23"/>
          <w:szCs w:val="23"/>
          <w:lang w:val="fr-FR"/>
        </w:rPr>
      </w:pPr>
      <w:r w:rsidRPr="00E73038">
        <w:rPr>
          <w:bCs/>
          <w:sz w:val="23"/>
          <w:szCs w:val="23"/>
          <w:lang w:val="fr-FR"/>
        </w:rPr>
        <w:t xml:space="preserve">Aux fins d’établissement du rapport financier, la conversion en EURO sera effectuée en </w:t>
      </w:r>
      <w:r w:rsidRPr="00E73038">
        <w:rPr>
          <w:b/>
          <w:bCs/>
          <w:sz w:val="23"/>
          <w:szCs w:val="23"/>
          <w:u w:val="single"/>
          <w:lang w:val="fr-FR"/>
        </w:rPr>
        <w:t>utilisant le taux de change utilisé pour l’enregistrement du préfinancement reçu de BEST 2.0 dans les compte</w:t>
      </w:r>
      <w:r w:rsidR="00717B27" w:rsidRPr="00E73038">
        <w:rPr>
          <w:b/>
          <w:bCs/>
          <w:sz w:val="23"/>
          <w:szCs w:val="23"/>
          <w:u w:val="single"/>
          <w:lang w:val="fr-FR"/>
        </w:rPr>
        <w:t>s</w:t>
      </w:r>
      <w:r w:rsidRPr="00E73038">
        <w:rPr>
          <w:b/>
          <w:bCs/>
          <w:sz w:val="23"/>
          <w:szCs w:val="23"/>
          <w:u w:val="single"/>
          <w:lang w:val="fr-FR"/>
        </w:rPr>
        <w:t xml:space="preserve"> des bénéficiaires.</w:t>
      </w:r>
    </w:p>
    <w:p w:rsidR="00CD40E0" w:rsidRDefault="00CD40E0">
      <w:pPr>
        <w:spacing w:after="0" w:line="240" w:lineRule="auto"/>
        <w:ind w:left="567"/>
        <w:jc w:val="both"/>
        <w:rPr>
          <w:rFonts w:cs="Times New Roman"/>
          <w:color w:val="000000"/>
          <w:lang w:val="fr-FR"/>
        </w:rPr>
      </w:pPr>
    </w:p>
    <w:p w:rsidR="00A5419B" w:rsidRPr="00A5419B" w:rsidRDefault="00A5419B">
      <w:pPr>
        <w:spacing w:after="0" w:line="240" w:lineRule="auto"/>
        <w:ind w:left="567"/>
        <w:jc w:val="both"/>
        <w:rPr>
          <w:rFonts w:cs="Times New Roman"/>
          <w:color w:val="000000"/>
          <w:lang w:val="fr-FR"/>
        </w:rPr>
      </w:pPr>
      <w:r>
        <w:rPr>
          <w:rFonts w:cs="Times New Roman"/>
          <w:color w:val="000000"/>
          <w:lang w:val="fr-FR"/>
        </w:rPr>
        <w:lastRenderedPageBreak/>
        <w:t>Dans le rapport financier ce taux de change sera utilisé afin de convertir toutes les dépenses encourues pendant la période du rapportage dans la monnaie du contrat de subvention.</w:t>
      </w:r>
    </w:p>
    <w:p w:rsidR="00CD40E0" w:rsidRPr="00DE3FB1" w:rsidRDefault="00CD40E0">
      <w:pPr>
        <w:spacing w:after="0" w:line="240" w:lineRule="auto"/>
        <w:ind w:left="567"/>
        <w:jc w:val="both"/>
        <w:rPr>
          <w:rFonts w:cs="Times New Roman"/>
          <w:color w:val="000000"/>
          <w:lang w:val="fr-FR"/>
        </w:rPr>
      </w:pPr>
    </w:p>
    <w:p w:rsidR="00A5419B" w:rsidRPr="00A5419B" w:rsidRDefault="00A5419B">
      <w:pPr>
        <w:spacing w:after="0" w:line="240" w:lineRule="auto"/>
        <w:ind w:left="567"/>
        <w:jc w:val="both"/>
        <w:rPr>
          <w:rFonts w:cs="Times New Roman"/>
          <w:color w:val="000000"/>
          <w:lang w:val="fr-FR"/>
        </w:rPr>
      </w:pPr>
      <w:r w:rsidRPr="00A5419B">
        <w:rPr>
          <w:rFonts w:cs="Times New Roman"/>
          <w:color w:val="000000"/>
          <w:lang w:val="fr-FR"/>
        </w:rPr>
        <w:t>Ce taux de change est appliqué au total</w:t>
      </w:r>
      <w:r>
        <w:rPr>
          <w:rFonts w:cs="Times New Roman"/>
          <w:color w:val="000000"/>
          <w:lang w:val="fr-FR"/>
        </w:rPr>
        <w:t xml:space="preserve"> de chaque ligne budgétaire, résultant du solde des comptes. Le coût unitaire est calculé à partir de ce montant. </w:t>
      </w:r>
    </w:p>
    <w:p w:rsidR="00CD40E0" w:rsidRPr="00DE3FB1" w:rsidRDefault="00CD40E0">
      <w:pPr>
        <w:spacing w:after="0" w:line="240" w:lineRule="auto"/>
        <w:ind w:left="567"/>
        <w:jc w:val="both"/>
        <w:rPr>
          <w:rFonts w:cs="Times New Roman"/>
          <w:color w:val="000000"/>
          <w:lang w:val="fr-FR"/>
        </w:rPr>
      </w:pPr>
    </w:p>
    <w:p w:rsidR="00A5419B" w:rsidRPr="008832CC" w:rsidRDefault="00A5419B" w:rsidP="00A5419B">
      <w:pPr>
        <w:spacing w:after="0" w:line="240" w:lineRule="auto"/>
        <w:ind w:left="567"/>
        <w:jc w:val="both"/>
        <w:rPr>
          <w:rFonts w:cs="Times New Roman"/>
          <w:color w:val="000000"/>
          <w:lang w:val="fr-FR"/>
        </w:rPr>
      </w:pPr>
      <w:r w:rsidRPr="008832CC">
        <w:rPr>
          <w:rFonts w:cs="Times New Roman"/>
          <w:color w:val="000000"/>
          <w:lang w:val="fr-FR"/>
        </w:rPr>
        <w:t xml:space="preserve">Au cas où </w:t>
      </w:r>
      <w:r w:rsidR="008832CC" w:rsidRPr="008832CC">
        <w:rPr>
          <w:rFonts w:cs="Times New Roman"/>
          <w:color w:val="000000"/>
          <w:lang w:val="fr-FR"/>
        </w:rPr>
        <w:t>il existe un solde reporté du préfinancement antérieur</w:t>
      </w:r>
      <w:r w:rsidR="008832CC">
        <w:rPr>
          <w:rFonts w:cs="Times New Roman"/>
          <w:color w:val="000000"/>
          <w:lang w:val="fr-FR"/>
        </w:rPr>
        <w:t>, les coûts sont convertis en EURO au taux de change utilisé pour l’enregistrement de ce préfinancement antérieur, jusqu’à l’épuisement de ce solde. Après, le taux de change du préfinancement suivant est à utiliser. Cette méthode est connu</w:t>
      </w:r>
      <w:r w:rsidR="002A68BF">
        <w:rPr>
          <w:rFonts w:cs="Times New Roman"/>
          <w:color w:val="000000"/>
          <w:lang w:val="fr-FR"/>
        </w:rPr>
        <w:t>e</w:t>
      </w:r>
      <w:r w:rsidR="008832CC">
        <w:rPr>
          <w:rFonts w:cs="Times New Roman"/>
          <w:color w:val="000000"/>
          <w:lang w:val="fr-FR"/>
        </w:rPr>
        <w:t xml:space="preserve"> comme « First In First Out ».</w:t>
      </w:r>
    </w:p>
    <w:p w:rsidR="00A5419B" w:rsidRPr="008832CC" w:rsidRDefault="00A5419B">
      <w:pPr>
        <w:spacing w:after="0" w:line="240" w:lineRule="auto"/>
        <w:ind w:left="567"/>
        <w:jc w:val="both"/>
        <w:rPr>
          <w:rFonts w:cs="Times New Roman"/>
          <w:color w:val="000000"/>
          <w:lang w:val="fr-FR"/>
        </w:rPr>
      </w:pPr>
    </w:p>
    <w:p w:rsidR="00CD40E0" w:rsidRPr="00D865CA" w:rsidRDefault="00C214A5">
      <w:pPr>
        <w:spacing w:after="0" w:line="240" w:lineRule="auto"/>
        <w:ind w:left="567"/>
        <w:rPr>
          <w:b/>
          <w:bCs/>
          <w:szCs w:val="23"/>
          <w:lang w:val="fr-FR"/>
        </w:rPr>
      </w:pPr>
      <w:r w:rsidRPr="00D865CA">
        <w:rPr>
          <w:b/>
          <w:bCs/>
          <w:szCs w:val="23"/>
          <w:lang w:val="fr-FR"/>
        </w:rPr>
        <w:t>Ex</w:t>
      </w:r>
      <w:r w:rsidR="00DE2D0A">
        <w:rPr>
          <w:b/>
          <w:bCs/>
          <w:szCs w:val="23"/>
          <w:lang w:val="fr-FR"/>
        </w:rPr>
        <w:t>e</w:t>
      </w:r>
      <w:r w:rsidRPr="00D865CA">
        <w:rPr>
          <w:b/>
          <w:bCs/>
          <w:szCs w:val="23"/>
          <w:lang w:val="fr-FR"/>
        </w:rPr>
        <w:t>mple:</w:t>
      </w:r>
    </w:p>
    <w:p w:rsidR="00CD40E0" w:rsidRPr="00D865CA" w:rsidRDefault="00CD40E0">
      <w:pPr>
        <w:spacing w:after="0" w:line="240" w:lineRule="auto"/>
        <w:ind w:left="567"/>
        <w:rPr>
          <w:b/>
          <w:bCs/>
          <w:szCs w:val="23"/>
          <w:lang w:val="fr-FR"/>
        </w:rPr>
      </w:pPr>
    </w:p>
    <w:p w:rsidR="00CD40E0" w:rsidRPr="00D865CA" w:rsidRDefault="00E73038" w:rsidP="00863A6A">
      <w:pPr>
        <w:spacing w:after="0" w:line="240" w:lineRule="auto"/>
        <w:ind w:left="567" w:hanging="1560"/>
        <w:rPr>
          <w:b/>
          <w:bCs/>
          <w:szCs w:val="23"/>
          <w:lang w:val="fr-FR"/>
        </w:rPr>
      </w:pPr>
      <w:r w:rsidRPr="00E73038">
        <w:rPr>
          <w:noProof/>
          <w:lang w:eastAsia="en-GB"/>
        </w:rPr>
        <w:drawing>
          <wp:inline distT="0" distB="0" distL="0" distR="0" wp14:anchorId="7EC9B6DB" wp14:editId="1B78EC3E">
            <wp:extent cx="7053977" cy="438143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948" cy="4381412"/>
                    </a:xfrm>
                    <a:prstGeom prst="rect">
                      <a:avLst/>
                    </a:prstGeom>
                    <a:noFill/>
                    <a:ln>
                      <a:noFill/>
                    </a:ln>
                  </pic:spPr>
                </pic:pic>
              </a:graphicData>
            </a:graphic>
          </wp:inline>
        </w:drawing>
      </w:r>
    </w:p>
    <w:p w:rsidR="00CD40E0" w:rsidRPr="00D865CA" w:rsidRDefault="00CD40E0">
      <w:pPr>
        <w:spacing w:after="0" w:line="240" w:lineRule="auto"/>
        <w:ind w:left="567"/>
        <w:rPr>
          <w:b/>
          <w:bCs/>
          <w:szCs w:val="23"/>
          <w:lang w:val="fr-FR"/>
        </w:rPr>
      </w:pPr>
    </w:p>
    <w:p w:rsidR="00CD40E0" w:rsidRPr="00D865CA" w:rsidRDefault="00CD40E0">
      <w:pPr>
        <w:spacing w:after="0" w:line="240" w:lineRule="auto"/>
        <w:ind w:left="567"/>
        <w:rPr>
          <w:b/>
          <w:bCs/>
          <w:szCs w:val="23"/>
          <w:lang w:val="fr-FR"/>
        </w:rPr>
      </w:pPr>
    </w:p>
    <w:p w:rsidR="00CD40E0" w:rsidRPr="00D865CA" w:rsidRDefault="00C214A5">
      <w:pPr>
        <w:spacing w:after="0" w:line="240" w:lineRule="auto"/>
        <w:ind w:left="567"/>
        <w:rPr>
          <w:b/>
          <w:bCs/>
          <w:szCs w:val="23"/>
          <w:lang w:val="fr-FR"/>
        </w:rPr>
      </w:pPr>
      <w:r w:rsidRPr="00D865CA">
        <w:rPr>
          <w:b/>
          <w:bCs/>
          <w:szCs w:val="23"/>
          <w:lang w:val="fr-FR"/>
        </w:rPr>
        <w:t xml:space="preserve">VII.2. </w:t>
      </w:r>
      <w:r w:rsidR="008832CC">
        <w:rPr>
          <w:b/>
          <w:bCs/>
          <w:szCs w:val="23"/>
          <w:lang w:val="fr-FR"/>
        </w:rPr>
        <w:t>T</w:t>
      </w:r>
      <w:r w:rsidR="0029498F">
        <w:rPr>
          <w:b/>
          <w:bCs/>
          <w:szCs w:val="23"/>
          <w:lang w:val="fr-FR"/>
        </w:rPr>
        <w:t>aux de change pour la comptabilité</w:t>
      </w:r>
    </w:p>
    <w:p w:rsidR="00CD40E0" w:rsidRPr="00D865CA" w:rsidRDefault="00CD40E0">
      <w:pPr>
        <w:pStyle w:val="Default"/>
        <w:ind w:left="567"/>
        <w:jc w:val="both"/>
        <w:rPr>
          <w:rFonts w:asciiTheme="minorHAnsi" w:hAnsiTheme="minorHAnsi"/>
          <w:sz w:val="22"/>
          <w:szCs w:val="22"/>
          <w:lang w:val="fr-FR"/>
        </w:rPr>
      </w:pPr>
    </w:p>
    <w:p w:rsidR="003D35A3" w:rsidRDefault="003D35A3">
      <w:pPr>
        <w:pStyle w:val="Default"/>
        <w:ind w:left="567"/>
        <w:jc w:val="both"/>
        <w:rPr>
          <w:rFonts w:asciiTheme="minorHAnsi" w:hAnsiTheme="minorHAnsi"/>
          <w:sz w:val="22"/>
          <w:szCs w:val="22"/>
          <w:lang w:val="fr-FR"/>
        </w:rPr>
      </w:pPr>
      <w:r>
        <w:rPr>
          <w:rFonts w:asciiTheme="minorHAnsi" w:hAnsiTheme="minorHAnsi"/>
          <w:sz w:val="22"/>
          <w:szCs w:val="22"/>
          <w:lang w:val="fr-FR"/>
        </w:rPr>
        <w:t xml:space="preserve">Si les comptes sont tenus en </w:t>
      </w:r>
      <w:r w:rsidR="00C214A5" w:rsidRPr="00D865CA">
        <w:rPr>
          <w:rFonts w:asciiTheme="minorHAnsi" w:hAnsiTheme="minorHAnsi"/>
          <w:sz w:val="22"/>
          <w:szCs w:val="22"/>
          <w:lang w:val="fr-FR"/>
        </w:rPr>
        <w:t>EUR</w:t>
      </w:r>
      <w:r>
        <w:rPr>
          <w:rFonts w:asciiTheme="minorHAnsi" w:hAnsiTheme="minorHAnsi"/>
          <w:sz w:val="22"/>
          <w:szCs w:val="22"/>
          <w:lang w:val="fr-FR"/>
        </w:rPr>
        <w:t xml:space="preserve"> mais les </w:t>
      </w:r>
      <w:r w:rsidRPr="00DB2624">
        <w:rPr>
          <w:rFonts w:asciiTheme="minorHAnsi" w:hAnsiTheme="minorHAnsi"/>
          <w:b/>
          <w:sz w:val="22"/>
          <w:szCs w:val="22"/>
          <w:lang w:val="fr-FR"/>
        </w:rPr>
        <w:t xml:space="preserve">dépenses sont effectuées dans une autre </w:t>
      </w:r>
      <w:r w:rsidR="00DB2624">
        <w:rPr>
          <w:rFonts w:asciiTheme="minorHAnsi" w:hAnsiTheme="minorHAnsi"/>
          <w:b/>
          <w:sz w:val="22"/>
          <w:szCs w:val="22"/>
          <w:lang w:val="fr-FR"/>
        </w:rPr>
        <w:t>devise</w:t>
      </w:r>
      <w:r>
        <w:rPr>
          <w:rFonts w:asciiTheme="minorHAnsi" w:hAnsiTheme="minorHAnsi"/>
          <w:sz w:val="22"/>
          <w:szCs w:val="22"/>
          <w:lang w:val="fr-FR"/>
        </w:rPr>
        <w:t xml:space="preserve">, les taux standard à utiliser sont ceux basés </w:t>
      </w:r>
      <w:r w:rsidR="008832CC">
        <w:rPr>
          <w:rFonts w:asciiTheme="minorHAnsi" w:hAnsiTheme="minorHAnsi"/>
          <w:sz w:val="22"/>
          <w:szCs w:val="22"/>
          <w:lang w:val="fr-FR"/>
        </w:rPr>
        <w:t xml:space="preserve">sur </w:t>
      </w:r>
      <w:proofErr w:type="spellStart"/>
      <w:r w:rsidR="00C214A5" w:rsidRPr="00D865CA">
        <w:rPr>
          <w:rFonts w:asciiTheme="minorHAnsi" w:hAnsiTheme="minorHAnsi"/>
          <w:sz w:val="22"/>
          <w:szCs w:val="22"/>
          <w:lang w:val="fr-FR"/>
        </w:rPr>
        <w:t>InforEuro</w:t>
      </w:r>
      <w:proofErr w:type="spellEnd"/>
      <w:r w:rsidR="00C214A5" w:rsidRPr="00D865CA">
        <w:rPr>
          <w:rFonts w:asciiTheme="minorHAnsi" w:hAnsiTheme="minorHAnsi"/>
          <w:sz w:val="22"/>
          <w:szCs w:val="22"/>
          <w:lang w:val="fr-FR"/>
        </w:rPr>
        <w:t xml:space="preserve"> </w:t>
      </w:r>
      <w:r>
        <w:rPr>
          <w:rFonts w:asciiTheme="minorHAnsi" w:hAnsiTheme="minorHAnsi"/>
          <w:sz w:val="22"/>
          <w:szCs w:val="22"/>
          <w:lang w:val="fr-FR"/>
        </w:rPr>
        <w:t>mensuellement à la date du paiement comme publiés à l’adresse suivante</w:t>
      </w:r>
      <w:r w:rsidR="00C214A5" w:rsidRPr="00D865CA">
        <w:rPr>
          <w:rFonts w:asciiTheme="minorHAnsi" w:hAnsiTheme="minorHAnsi"/>
          <w:sz w:val="22"/>
          <w:szCs w:val="22"/>
          <w:lang w:val="fr-FR"/>
        </w:rPr>
        <w:t>:</w:t>
      </w:r>
      <w:r>
        <w:rPr>
          <w:rFonts w:asciiTheme="minorHAnsi" w:hAnsiTheme="minorHAnsi"/>
          <w:sz w:val="22"/>
          <w:szCs w:val="22"/>
          <w:lang w:val="fr-FR"/>
        </w:rPr>
        <w:t xml:space="preserve"> </w:t>
      </w:r>
    </w:p>
    <w:bookmarkStart w:id="0" w:name="_GoBack"/>
    <w:p w:rsidR="00CD40E0" w:rsidRPr="00E4463F" w:rsidRDefault="00E4463F">
      <w:pPr>
        <w:pStyle w:val="Default"/>
        <w:ind w:left="567"/>
        <w:jc w:val="both"/>
        <w:rPr>
          <w:b/>
          <w:lang w:val="fr-FR"/>
        </w:rPr>
      </w:pPr>
      <w:r w:rsidRPr="00E4463F">
        <w:rPr>
          <w:rFonts w:asciiTheme="minorHAnsi" w:hAnsiTheme="minorHAnsi"/>
          <w:b/>
          <w:sz w:val="22"/>
          <w:szCs w:val="22"/>
          <w:lang w:val="fr-FR"/>
        </w:rPr>
        <w:fldChar w:fldCharType="begin"/>
      </w:r>
      <w:r w:rsidRPr="00E4463F">
        <w:rPr>
          <w:rFonts w:asciiTheme="minorHAnsi" w:hAnsiTheme="minorHAnsi"/>
          <w:b/>
          <w:sz w:val="22"/>
          <w:szCs w:val="22"/>
          <w:lang w:val="fr-FR"/>
        </w:rPr>
        <w:instrText xml:space="preserve"> HYPERLINK "http://ec.europa.eu/budget/contracts_grants/info_contracts/inforeuro/index_fr.cfm" </w:instrText>
      </w:r>
      <w:r w:rsidRPr="00E4463F">
        <w:rPr>
          <w:rFonts w:asciiTheme="minorHAnsi" w:hAnsiTheme="minorHAnsi"/>
          <w:b/>
          <w:sz w:val="22"/>
          <w:szCs w:val="22"/>
          <w:lang w:val="fr-FR"/>
        </w:rPr>
        <w:fldChar w:fldCharType="separate"/>
      </w:r>
      <w:r w:rsidRPr="00E4463F">
        <w:rPr>
          <w:rStyle w:val="Hyperlink"/>
          <w:rFonts w:asciiTheme="minorHAnsi" w:hAnsiTheme="minorHAnsi"/>
          <w:b/>
          <w:sz w:val="22"/>
          <w:szCs w:val="22"/>
          <w:lang w:val="fr-FR"/>
        </w:rPr>
        <w:t>http://ec.europa.eu/budget/contracts_grants/info_contracts/inforeuro/index_fr.cfm</w:t>
      </w:r>
      <w:r w:rsidRPr="00E4463F">
        <w:rPr>
          <w:rFonts w:asciiTheme="minorHAnsi" w:hAnsiTheme="minorHAnsi"/>
          <w:b/>
          <w:sz w:val="22"/>
          <w:szCs w:val="22"/>
          <w:lang w:val="fr-FR"/>
        </w:rPr>
        <w:fldChar w:fldCharType="end"/>
      </w:r>
    </w:p>
    <w:bookmarkEnd w:id="0"/>
    <w:p w:rsidR="00CD40E0" w:rsidRPr="00D865CA" w:rsidRDefault="0029498F">
      <w:pPr>
        <w:pStyle w:val="Heading1"/>
        <w:numPr>
          <w:ilvl w:val="0"/>
          <w:numId w:val="4"/>
        </w:numPr>
        <w:ind w:left="851" w:hanging="851"/>
        <w:rPr>
          <w:lang w:val="fr-FR"/>
        </w:rPr>
      </w:pPr>
      <w:r>
        <w:rPr>
          <w:lang w:val="fr-FR"/>
        </w:rPr>
        <w:lastRenderedPageBreak/>
        <w:t>Rapport financiers</w:t>
      </w:r>
    </w:p>
    <w:p w:rsidR="00CD40E0" w:rsidRPr="00D50517" w:rsidRDefault="00615474">
      <w:pPr>
        <w:pStyle w:val="ListParagraph"/>
        <w:spacing w:after="0" w:line="240" w:lineRule="auto"/>
        <w:ind w:left="567"/>
        <w:jc w:val="both"/>
        <w:rPr>
          <w:rFonts w:cs="Times New Roman"/>
          <w:color w:val="000000"/>
          <w:lang w:val="fr-FR"/>
        </w:rPr>
      </w:pPr>
      <w:r w:rsidRPr="00D50517">
        <w:rPr>
          <w:rFonts w:cs="Times New Roman"/>
          <w:color w:val="000000"/>
          <w:lang w:val="fr-FR"/>
        </w:rPr>
        <w:t>Les rapports financiers doivent être proprement et facilement conciliés</w:t>
      </w:r>
      <w:r w:rsidR="00D50517" w:rsidRPr="00D50517">
        <w:rPr>
          <w:rFonts w:cs="Times New Roman"/>
          <w:color w:val="000000"/>
          <w:lang w:val="fr-FR"/>
        </w:rPr>
        <w:t xml:space="preserve"> avec les systèm</w:t>
      </w:r>
      <w:r w:rsidR="00D50517">
        <w:rPr>
          <w:rFonts w:cs="Times New Roman"/>
          <w:color w:val="000000"/>
          <w:lang w:val="fr-FR"/>
        </w:rPr>
        <w:t>e</w:t>
      </w:r>
      <w:r w:rsidR="00D50517" w:rsidRPr="00D50517">
        <w:rPr>
          <w:rFonts w:cs="Times New Roman"/>
          <w:color w:val="000000"/>
          <w:lang w:val="fr-FR"/>
        </w:rPr>
        <w:t xml:space="preserve">s de comptabilité et de tenue des comptes et </w:t>
      </w:r>
      <w:r w:rsidR="00D50517">
        <w:rPr>
          <w:rFonts w:cs="Times New Roman"/>
          <w:color w:val="000000"/>
          <w:lang w:val="fr-FR"/>
        </w:rPr>
        <w:t xml:space="preserve">autres enregistrements sous-jacents.  </w:t>
      </w:r>
      <w:r w:rsidR="00D50517" w:rsidRPr="00D50517">
        <w:rPr>
          <w:rFonts w:cs="Times New Roman"/>
          <w:color w:val="000000"/>
          <w:lang w:val="fr-FR"/>
        </w:rPr>
        <w:t xml:space="preserve">A cet effet, le bénéficiaire doit préparer et garder </w:t>
      </w:r>
      <w:r w:rsidR="00502353" w:rsidRPr="00FE7490">
        <w:rPr>
          <w:rFonts w:cs="Times New Roman"/>
          <w:color w:val="000000"/>
          <w:lang w:val="fr-FR"/>
        </w:rPr>
        <w:t>tableaux de réconciliation</w:t>
      </w:r>
      <w:r w:rsidR="00C214A5" w:rsidRPr="00FE7490">
        <w:rPr>
          <w:rFonts w:cs="Times New Roman"/>
          <w:color w:val="000000"/>
          <w:lang w:val="fr-FR"/>
        </w:rPr>
        <w:t xml:space="preserve">, </w:t>
      </w:r>
      <w:r w:rsidR="00C214A5" w:rsidRPr="00D50517">
        <w:rPr>
          <w:rFonts w:cs="Times New Roman"/>
          <w:color w:val="000000"/>
          <w:lang w:val="fr-FR"/>
        </w:rPr>
        <w:t xml:space="preserve">analyses </w:t>
      </w:r>
      <w:r w:rsidR="00D50517" w:rsidRPr="00D50517">
        <w:rPr>
          <w:rFonts w:cs="Times New Roman"/>
          <w:color w:val="000000"/>
          <w:lang w:val="fr-FR"/>
        </w:rPr>
        <w:t xml:space="preserve">et ventilations pour inspection et </w:t>
      </w:r>
      <w:r w:rsidR="00DE2D0A" w:rsidRPr="00D50517">
        <w:rPr>
          <w:rFonts w:cs="Times New Roman"/>
          <w:color w:val="000000"/>
          <w:lang w:val="fr-FR"/>
        </w:rPr>
        <w:t>vérification</w:t>
      </w:r>
      <w:r w:rsidR="00C214A5" w:rsidRPr="00D50517">
        <w:rPr>
          <w:rFonts w:cs="Times New Roman"/>
          <w:color w:val="000000"/>
          <w:lang w:val="fr-FR"/>
        </w:rPr>
        <w:t>.</w:t>
      </w:r>
    </w:p>
    <w:p w:rsidR="00CD40E0" w:rsidRPr="00D50517" w:rsidRDefault="00CD40E0">
      <w:pPr>
        <w:pStyle w:val="ListParagraph"/>
        <w:spacing w:after="0" w:line="240" w:lineRule="auto"/>
        <w:ind w:left="567"/>
        <w:jc w:val="both"/>
        <w:rPr>
          <w:rFonts w:cs="Times New Roman"/>
          <w:color w:val="000000"/>
          <w:lang w:val="fr-FR"/>
        </w:rPr>
      </w:pPr>
    </w:p>
    <w:p w:rsidR="00CD40E0" w:rsidRPr="003A0669" w:rsidRDefault="003A0669">
      <w:pPr>
        <w:pStyle w:val="ListParagraph"/>
        <w:spacing w:after="0" w:line="240" w:lineRule="auto"/>
        <w:ind w:left="567"/>
        <w:jc w:val="both"/>
        <w:rPr>
          <w:rFonts w:cs="Times New Roman"/>
          <w:color w:val="000000"/>
          <w:lang w:val="fr-FR"/>
        </w:rPr>
      </w:pPr>
      <w:r w:rsidRPr="003A0669">
        <w:rPr>
          <w:rFonts w:cs="Times New Roman"/>
          <w:color w:val="000000"/>
          <w:lang w:val="fr-FR"/>
        </w:rPr>
        <w:t>Les conditions de rapportage sont établies à l’A</w:t>
      </w:r>
      <w:r w:rsidR="00C214A5" w:rsidRPr="003A0669">
        <w:rPr>
          <w:rFonts w:cs="Times New Roman"/>
          <w:color w:val="000000"/>
          <w:lang w:val="fr-FR"/>
        </w:rPr>
        <w:t xml:space="preserve">rticle 6 </w:t>
      </w:r>
      <w:r w:rsidRPr="003A0669">
        <w:rPr>
          <w:rFonts w:cs="Times New Roman"/>
          <w:color w:val="000000"/>
          <w:lang w:val="fr-FR"/>
        </w:rPr>
        <w:t xml:space="preserve">des </w:t>
      </w:r>
      <w:r w:rsidR="00C214A5" w:rsidRPr="003A0669">
        <w:rPr>
          <w:rFonts w:cs="Times New Roman"/>
          <w:color w:val="000000"/>
          <w:lang w:val="fr-FR"/>
        </w:rPr>
        <w:t>Conditions</w:t>
      </w:r>
      <w:r w:rsidRPr="003A0669">
        <w:rPr>
          <w:rFonts w:cs="Times New Roman"/>
          <w:color w:val="000000"/>
          <w:lang w:val="fr-FR"/>
        </w:rPr>
        <w:t xml:space="preserve"> </w:t>
      </w:r>
      <w:r>
        <w:rPr>
          <w:rFonts w:cs="Times New Roman"/>
          <w:color w:val="000000"/>
          <w:lang w:val="fr-FR"/>
        </w:rPr>
        <w:t>spéciales du contrat de subvention</w:t>
      </w:r>
      <w:r w:rsidR="00C214A5" w:rsidRPr="003A0669">
        <w:rPr>
          <w:rFonts w:cs="Times New Roman"/>
          <w:color w:val="000000"/>
          <w:lang w:val="fr-FR"/>
        </w:rPr>
        <w:t>.</w:t>
      </w:r>
    </w:p>
    <w:p w:rsidR="00CD40E0" w:rsidRPr="003A0669" w:rsidRDefault="00CD40E0">
      <w:pPr>
        <w:pStyle w:val="ListParagraph"/>
        <w:spacing w:after="0" w:line="240" w:lineRule="auto"/>
        <w:ind w:left="567"/>
        <w:rPr>
          <w:b/>
          <w:bCs/>
          <w:lang w:val="fr-FR"/>
        </w:rPr>
      </w:pPr>
    </w:p>
    <w:p w:rsidR="00CD40E0" w:rsidRPr="003A0669" w:rsidRDefault="003A0669" w:rsidP="000F6A18">
      <w:pPr>
        <w:spacing w:after="0" w:line="240" w:lineRule="auto"/>
        <w:ind w:left="567"/>
        <w:jc w:val="both"/>
        <w:rPr>
          <w:b/>
          <w:bCs/>
          <w:lang w:val="fr-FR"/>
        </w:rPr>
      </w:pPr>
      <w:r w:rsidRPr="003A0669">
        <w:rPr>
          <w:bCs/>
          <w:lang w:val="fr-FR"/>
        </w:rPr>
        <w:t>Les documents de rapportage financier requis pour chaque période consistent en</w:t>
      </w:r>
      <w:r w:rsidR="00C214A5" w:rsidRPr="003A0669">
        <w:rPr>
          <w:bCs/>
          <w:lang w:val="fr-FR"/>
        </w:rPr>
        <w:t>:</w:t>
      </w:r>
    </w:p>
    <w:p w:rsidR="00CD40E0" w:rsidRPr="00D865CA" w:rsidRDefault="003A0669" w:rsidP="000F6A18">
      <w:pPr>
        <w:pStyle w:val="ListParagraph"/>
        <w:numPr>
          <w:ilvl w:val="3"/>
          <w:numId w:val="1"/>
        </w:numPr>
        <w:spacing w:before="60" w:after="60" w:line="240" w:lineRule="auto"/>
        <w:ind w:left="1417" w:hanging="425"/>
        <w:contextualSpacing w:val="0"/>
        <w:jc w:val="both"/>
        <w:rPr>
          <w:lang w:val="fr-FR"/>
        </w:rPr>
      </w:pPr>
      <w:r>
        <w:rPr>
          <w:bCs/>
          <w:lang w:val="fr-FR"/>
        </w:rPr>
        <w:t>Un rapport financier pour la période concernée ;</w:t>
      </w:r>
      <w:r w:rsidR="00C214A5" w:rsidRPr="00D865CA">
        <w:rPr>
          <w:bCs/>
          <w:lang w:val="fr-FR"/>
        </w:rPr>
        <w:t xml:space="preserve"> </w:t>
      </w:r>
    </w:p>
    <w:p w:rsidR="003A0669" w:rsidRPr="003A0669" w:rsidRDefault="003A0669" w:rsidP="000F6A18">
      <w:pPr>
        <w:pStyle w:val="ListParagraph"/>
        <w:numPr>
          <w:ilvl w:val="3"/>
          <w:numId w:val="1"/>
        </w:numPr>
        <w:spacing w:before="60" w:after="60" w:line="240" w:lineRule="auto"/>
        <w:ind w:left="1417" w:hanging="425"/>
        <w:contextualSpacing w:val="0"/>
        <w:jc w:val="both"/>
        <w:rPr>
          <w:b/>
          <w:bCs/>
          <w:lang w:val="fr-FR"/>
        </w:rPr>
      </w:pPr>
      <w:r w:rsidRPr="003A0669">
        <w:rPr>
          <w:bCs/>
          <w:lang w:val="fr-FR"/>
        </w:rPr>
        <w:t>Une liste complète des transactions et tableau des coûts de personnel ;</w:t>
      </w:r>
    </w:p>
    <w:p w:rsidR="00CD40E0" w:rsidRPr="003A0669" w:rsidRDefault="003A0669" w:rsidP="000F6A18">
      <w:pPr>
        <w:pStyle w:val="ListParagraph"/>
        <w:numPr>
          <w:ilvl w:val="3"/>
          <w:numId w:val="1"/>
        </w:numPr>
        <w:spacing w:before="60" w:after="60" w:line="240" w:lineRule="auto"/>
        <w:ind w:left="1417" w:hanging="425"/>
        <w:contextualSpacing w:val="0"/>
        <w:jc w:val="both"/>
        <w:rPr>
          <w:b/>
          <w:bCs/>
          <w:lang w:val="fr-FR"/>
        </w:rPr>
      </w:pPr>
      <w:r w:rsidRPr="003A0669">
        <w:rPr>
          <w:bCs/>
          <w:lang w:val="fr-FR"/>
        </w:rPr>
        <w:t>Pour chaque rapport intermédiaire – une prévision des dépenses pour la pro</w:t>
      </w:r>
      <w:r>
        <w:rPr>
          <w:bCs/>
          <w:lang w:val="fr-FR"/>
        </w:rPr>
        <w:t>chaine période de rapportage ;</w:t>
      </w:r>
    </w:p>
    <w:p w:rsidR="00CD40E0" w:rsidRPr="00D865CA" w:rsidRDefault="003A0669" w:rsidP="000F6A18">
      <w:pPr>
        <w:pStyle w:val="ListParagraph"/>
        <w:numPr>
          <w:ilvl w:val="3"/>
          <w:numId w:val="1"/>
        </w:numPr>
        <w:spacing w:before="60" w:after="60" w:line="240" w:lineRule="auto"/>
        <w:ind w:left="1417" w:hanging="425"/>
        <w:contextualSpacing w:val="0"/>
        <w:jc w:val="both"/>
        <w:rPr>
          <w:lang w:val="fr-FR"/>
        </w:rPr>
      </w:pPr>
      <w:r>
        <w:rPr>
          <w:bCs/>
          <w:lang w:val="fr-FR"/>
        </w:rPr>
        <w:t>Une demande de paiement.</w:t>
      </w:r>
    </w:p>
    <w:p w:rsidR="00CD40E0" w:rsidRPr="00D865CA" w:rsidRDefault="00CD40E0">
      <w:pPr>
        <w:spacing w:after="0" w:line="240" w:lineRule="auto"/>
        <w:rPr>
          <w:bCs/>
          <w:lang w:val="fr-FR"/>
        </w:rPr>
      </w:pPr>
    </w:p>
    <w:p w:rsidR="00CD40E0" w:rsidRPr="00C26B96" w:rsidRDefault="00C26B96">
      <w:pPr>
        <w:spacing w:after="0" w:line="240" w:lineRule="auto"/>
        <w:ind w:left="567"/>
        <w:rPr>
          <w:lang w:val="fr-FR"/>
        </w:rPr>
      </w:pPr>
      <w:r w:rsidRPr="00C26B96">
        <w:rPr>
          <w:bCs/>
          <w:lang w:val="fr-FR"/>
        </w:rPr>
        <w:t>Les formulaires pour les rapports financiers, les liste</w:t>
      </w:r>
      <w:r>
        <w:rPr>
          <w:bCs/>
          <w:lang w:val="fr-FR"/>
        </w:rPr>
        <w:t>s</w:t>
      </w:r>
      <w:r w:rsidRPr="00C26B96">
        <w:rPr>
          <w:bCs/>
          <w:lang w:val="fr-FR"/>
        </w:rPr>
        <w:t xml:space="preserve"> de transactio</w:t>
      </w:r>
      <w:r>
        <w:rPr>
          <w:bCs/>
          <w:lang w:val="fr-FR"/>
        </w:rPr>
        <w:t xml:space="preserve">ns et tableau de coûts de personnels ainsi que les demandes de paiement sont disponibles en ligne sur le portail </w:t>
      </w:r>
      <w:hyperlink r:id="rId12" w:history="1">
        <w:r w:rsidRPr="00C26B96">
          <w:rPr>
            <w:rStyle w:val="Hyperlink"/>
            <w:bCs/>
            <w:lang w:val="fr-FR"/>
          </w:rPr>
          <w:t>BEST 2.0</w:t>
        </w:r>
      </w:hyperlink>
      <w:r>
        <w:rPr>
          <w:bCs/>
          <w:lang w:val="fr-FR"/>
        </w:rPr>
        <w:t>.</w:t>
      </w:r>
    </w:p>
    <w:p w:rsidR="00CD40E0" w:rsidRPr="00D865CA" w:rsidRDefault="0029498F">
      <w:pPr>
        <w:pStyle w:val="Heading1"/>
        <w:numPr>
          <w:ilvl w:val="0"/>
          <w:numId w:val="4"/>
        </w:numPr>
        <w:rPr>
          <w:lang w:val="fr-FR"/>
        </w:rPr>
      </w:pPr>
      <w:r>
        <w:rPr>
          <w:lang w:val="fr-FR"/>
        </w:rPr>
        <w:t>Documents support</w:t>
      </w:r>
      <w:r w:rsidR="00C214A5" w:rsidRPr="00D865CA">
        <w:rPr>
          <w:lang w:val="fr-FR"/>
        </w:rPr>
        <w:t>s:</w:t>
      </w:r>
    </w:p>
    <w:p w:rsidR="00FE7490" w:rsidRDefault="00E1066F" w:rsidP="000F6A18">
      <w:pPr>
        <w:spacing w:after="0" w:line="240" w:lineRule="auto"/>
        <w:ind w:left="567"/>
        <w:jc w:val="both"/>
        <w:rPr>
          <w:rFonts w:cs="Arial"/>
          <w:i/>
          <w:lang w:val="fr-FR"/>
        </w:rPr>
      </w:pPr>
      <w:r w:rsidRPr="00E1066F">
        <w:rPr>
          <w:rFonts w:cs="Arial"/>
          <w:i/>
          <w:lang w:val="fr-FR"/>
        </w:rPr>
        <w:t>La liste suivante n’est pas exhaustive et est fournie à titre d’indication</w:t>
      </w:r>
      <w:r>
        <w:rPr>
          <w:rFonts w:cs="Arial"/>
          <w:i/>
          <w:lang w:val="fr-FR"/>
        </w:rPr>
        <w:t xml:space="preserve"> de la documentation sujette à audit.</w:t>
      </w:r>
    </w:p>
    <w:p w:rsidR="00FE7490" w:rsidRDefault="00FE7490" w:rsidP="000F6A18">
      <w:pPr>
        <w:spacing w:after="0" w:line="240" w:lineRule="auto"/>
        <w:ind w:left="567"/>
        <w:jc w:val="both"/>
        <w:rPr>
          <w:rFonts w:cs="Arial"/>
          <w:i/>
          <w:lang w:val="fr-FR"/>
        </w:rPr>
      </w:pPr>
    </w:p>
    <w:p w:rsidR="00FE7490" w:rsidRDefault="00FE7490" w:rsidP="000F6A18">
      <w:pPr>
        <w:spacing w:after="0" w:line="240" w:lineRule="auto"/>
        <w:ind w:left="567"/>
        <w:jc w:val="both"/>
        <w:rPr>
          <w:rFonts w:cs="Arial"/>
          <w:b/>
          <w:i/>
          <w:lang w:val="fr-FR"/>
        </w:rPr>
      </w:pPr>
      <w:r>
        <w:rPr>
          <w:rFonts w:cs="Arial"/>
          <w:b/>
          <w:i/>
          <w:lang w:val="fr-FR"/>
        </w:rPr>
        <w:t>General</w:t>
      </w:r>
    </w:p>
    <w:p w:rsidR="00CD40E0" w:rsidRPr="00DB2624" w:rsidRDefault="00DB2624" w:rsidP="00572A7C">
      <w:pPr>
        <w:pStyle w:val="ListParagraph"/>
        <w:numPr>
          <w:ilvl w:val="0"/>
          <w:numId w:val="8"/>
        </w:numPr>
        <w:spacing w:after="0" w:line="240" w:lineRule="auto"/>
        <w:ind w:left="1338" w:hanging="357"/>
        <w:jc w:val="both"/>
        <w:rPr>
          <w:rFonts w:cs="Arial"/>
          <w:lang w:val="fr-FR"/>
        </w:rPr>
      </w:pPr>
      <w:r>
        <w:rPr>
          <w:rFonts w:cs="Arial"/>
          <w:lang w:val="fr-FR"/>
        </w:rPr>
        <w:t>Des p</w:t>
      </w:r>
      <w:r w:rsidR="00FE7490" w:rsidRPr="00DB2624">
        <w:rPr>
          <w:rFonts w:cs="Arial"/>
          <w:lang w:val="fr-FR"/>
        </w:rPr>
        <w:t xml:space="preserve">hotos </w:t>
      </w:r>
      <w:r>
        <w:rPr>
          <w:rFonts w:cs="Arial"/>
          <w:lang w:val="fr-FR"/>
        </w:rPr>
        <w:t>d</w:t>
      </w:r>
      <w:r w:rsidRPr="00DB2624">
        <w:rPr>
          <w:rFonts w:cs="Arial"/>
          <w:lang w:val="fr-FR"/>
        </w:rPr>
        <w:t>e</w:t>
      </w:r>
      <w:r>
        <w:rPr>
          <w:rFonts w:cs="Arial"/>
          <w:lang w:val="fr-FR"/>
        </w:rPr>
        <w:t>s</w:t>
      </w:r>
      <w:r w:rsidRPr="00DB2624">
        <w:rPr>
          <w:rFonts w:cs="Arial"/>
          <w:lang w:val="fr-FR"/>
        </w:rPr>
        <w:t xml:space="preserve"> travaux/activités de terrain (photo</w:t>
      </w:r>
      <w:r>
        <w:rPr>
          <w:rFonts w:cs="Arial"/>
          <w:lang w:val="fr-FR"/>
        </w:rPr>
        <w:t>s</w:t>
      </w:r>
      <w:r w:rsidRPr="00DB2624">
        <w:rPr>
          <w:rFonts w:cs="Arial"/>
          <w:lang w:val="fr-FR"/>
        </w:rPr>
        <w:t xml:space="preserve"> avant/pendant/après travaux/activités de terrain</w:t>
      </w:r>
      <w:r w:rsidR="00FE7490" w:rsidRPr="00DB2624">
        <w:rPr>
          <w:rFonts w:cs="Arial"/>
          <w:lang w:val="fr-FR"/>
        </w:rPr>
        <w:t xml:space="preserve">) </w:t>
      </w:r>
      <w:r>
        <w:rPr>
          <w:rFonts w:cs="Arial"/>
          <w:lang w:val="fr-FR"/>
        </w:rPr>
        <w:t xml:space="preserve">devant être </w:t>
      </w:r>
      <w:r w:rsidRPr="00DB2624">
        <w:rPr>
          <w:rFonts w:cs="Arial"/>
          <w:lang w:val="fr-FR"/>
        </w:rPr>
        <w:t>réalisés par le</w:t>
      </w:r>
      <w:r>
        <w:rPr>
          <w:rFonts w:cs="Arial"/>
          <w:lang w:val="fr-FR"/>
        </w:rPr>
        <w:t>s</w:t>
      </w:r>
      <w:r w:rsidRPr="00DB2624">
        <w:rPr>
          <w:rFonts w:cs="Arial"/>
          <w:lang w:val="fr-FR"/>
        </w:rPr>
        <w:t xml:space="preserve"> bénéficiaires de la subvention</w:t>
      </w:r>
      <w:r w:rsidR="00FE7490" w:rsidRPr="00DB2624">
        <w:rPr>
          <w:rFonts w:cs="Arial"/>
          <w:lang w:val="fr-FR"/>
        </w:rPr>
        <w:t>,</w:t>
      </w:r>
      <w:r w:rsidRPr="00DB2624">
        <w:rPr>
          <w:rFonts w:cs="Arial"/>
          <w:lang w:val="fr-FR"/>
        </w:rPr>
        <w:t xml:space="preserve"> ou les sous-contractants, doivent être effect</w:t>
      </w:r>
      <w:r>
        <w:rPr>
          <w:rFonts w:cs="Arial"/>
          <w:lang w:val="fr-FR"/>
        </w:rPr>
        <w:t>u</w:t>
      </w:r>
      <w:r w:rsidRPr="00DB2624">
        <w:rPr>
          <w:rFonts w:cs="Arial"/>
          <w:lang w:val="fr-FR"/>
        </w:rPr>
        <w:t xml:space="preserve">ées et mise à disposition comme preuve de réalisation des activités du projet. Des photos doivent accompagner la description écrite de la réalisation des activités du projet </w:t>
      </w:r>
      <w:r w:rsidR="00FE7490" w:rsidRPr="00DB2624">
        <w:rPr>
          <w:rFonts w:cs="Arial"/>
          <w:lang w:val="fr-FR"/>
        </w:rPr>
        <w:t>d</w:t>
      </w:r>
      <w:r w:rsidRPr="00DB2624">
        <w:rPr>
          <w:rFonts w:cs="Arial"/>
          <w:lang w:val="fr-FR"/>
        </w:rPr>
        <w:t xml:space="preserve">ans les rapports techniques soumis au Secrétariat </w:t>
      </w:r>
      <w:r w:rsidR="00FE7490" w:rsidRPr="00DB2624">
        <w:rPr>
          <w:rFonts w:cs="Arial"/>
          <w:lang w:val="fr-FR"/>
        </w:rPr>
        <w:t>BEST 2.0.</w:t>
      </w:r>
    </w:p>
    <w:p w:rsidR="00FE7490" w:rsidRPr="00DB2624" w:rsidRDefault="00FE7490" w:rsidP="000F6A18">
      <w:pPr>
        <w:pStyle w:val="ListParagraph"/>
        <w:ind w:left="1340"/>
        <w:jc w:val="both"/>
        <w:rPr>
          <w:rFonts w:cs="Arial"/>
          <w:lang w:val="fr-FR"/>
        </w:rPr>
      </w:pPr>
    </w:p>
    <w:p w:rsidR="00CD40E0" w:rsidRPr="00D865CA" w:rsidRDefault="00396065" w:rsidP="000F6A18">
      <w:pPr>
        <w:pStyle w:val="ListParagraph"/>
        <w:numPr>
          <w:ilvl w:val="0"/>
          <w:numId w:val="5"/>
        </w:numPr>
        <w:spacing w:after="0" w:line="240" w:lineRule="auto"/>
        <w:ind w:left="1276" w:hanging="425"/>
        <w:jc w:val="both"/>
        <w:rPr>
          <w:rFonts w:cs="Arial"/>
          <w:lang w:val="fr-FR"/>
        </w:rPr>
      </w:pPr>
      <w:r>
        <w:rPr>
          <w:rFonts w:cs="Arial"/>
          <w:b/>
          <w:lang w:val="fr-FR"/>
        </w:rPr>
        <w:t>Coûts de personnel</w:t>
      </w:r>
      <w:r w:rsidR="00C214A5" w:rsidRPr="00D865CA">
        <w:rPr>
          <w:rFonts w:cs="Arial"/>
          <w:b/>
          <w:lang w:val="fr-FR"/>
        </w:rPr>
        <w:t xml:space="preserve"> – </w:t>
      </w:r>
      <w:r w:rsidR="0021226D">
        <w:rPr>
          <w:rFonts w:cs="Arial"/>
          <w:b/>
          <w:lang w:val="fr-FR"/>
        </w:rPr>
        <w:t xml:space="preserve">sous </w:t>
      </w:r>
      <w:r>
        <w:rPr>
          <w:rFonts w:cs="Arial"/>
          <w:b/>
          <w:lang w:val="fr-FR"/>
        </w:rPr>
        <w:t>Intitulé</w:t>
      </w:r>
      <w:r w:rsidR="0021226D">
        <w:rPr>
          <w:rFonts w:cs="Arial"/>
          <w:b/>
          <w:lang w:val="fr-FR"/>
        </w:rPr>
        <w:t xml:space="preserve"> du budget</w:t>
      </w:r>
      <w:r>
        <w:rPr>
          <w:rFonts w:cs="Arial"/>
          <w:b/>
          <w:lang w:val="fr-FR"/>
        </w:rPr>
        <w:t xml:space="preserve"> </w:t>
      </w:r>
      <w:r w:rsidR="00C214A5" w:rsidRPr="00D865CA">
        <w:rPr>
          <w:rFonts w:cs="Arial"/>
          <w:b/>
          <w:lang w:val="fr-FR"/>
        </w:rPr>
        <w:t xml:space="preserve"> “</w:t>
      </w:r>
      <w:r>
        <w:rPr>
          <w:rFonts w:cs="Arial"/>
          <w:b/>
          <w:lang w:val="fr-FR"/>
        </w:rPr>
        <w:t>Ressources humaines</w:t>
      </w:r>
      <w:r w:rsidR="00C214A5" w:rsidRPr="00D865CA">
        <w:rPr>
          <w:rFonts w:cs="Arial"/>
          <w:b/>
          <w:lang w:val="fr-FR"/>
        </w:rPr>
        <w:t>”</w:t>
      </w:r>
    </w:p>
    <w:p w:rsidR="00CD40E0" w:rsidRPr="00D865CA" w:rsidRDefault="0021226D" w:rsidP="000F6A18">
      <w:pPr>
        <w:pStyle w:val="ListParagraph"/>
        <w:numPr>
          <w:ilvl w:val="1"/>
          <w:numId w:val="5"/>
        </w:numPr>
        <w:spacing w:after="0" w:line="240" w:lineRule="auto"/>
        <w:ind w:left="1843" w:hanging="425"/>
        <w:jc w:val="both"/>
        <w:rPr>
          <w:rFonts w:cs="Arial"/>
          <w:lang w:val="fr-FR"/>
        </w:rPr>
      </w:pPr>
      <w:r>
        <w:rPr>
          <w:rFonts w:cs="Arial"/>
          <w:lang w:val="fr-FR"/>
        </w:rPr>
        <w:t>Contrat de travail</w:t>
      </w:r>
      <w:r w:rsidR="00FE7490">
        <w:rPr>
          <w:rFonts w:cs="Arial"/>
          <w:lang w:val="fr-FR"/>
        </w:rPr>
        <w:t xml:space="preserve"> </w:t>
      </w:r>
      <w:r>
        <w:rPr>
          <w:rFonts w:cs="Arial"/>
          <w:lang w:val="fr-FR"/>
        </w:rPr>
        <w:t>;</w:t>
      </w:r>
    </w:p>
    <w:p w:rsidR="00CD40E0" w:rsidRPr="00D865CA" w:rsidRDefault="00FE7490" w:rsidP="000F6A18">
      <w:pPr>
        <w:pStyle w:val="ListParagraph"/>
        <w:numPr>
          <w:ilvl w:val="1"/>
          <w:numId w:val="5"/>
        </w:numPr>
        <w:spacing w:after="0" w:line="240" w:lineRule="auto"/>
        <w:ind w:left="1843" w:hanging="425"/>
        <w:jc w:val="both"/>
        <w:rPr>
          <w:rFonts w:cs="Arial"/>
          <w:lang w:val="fr-FR"/>
        </w:rPr>
      </w:pPr>
      <w:r>
        <w:rPr>
          <w:rFonts w:cs="Arial"/>
          <w:lang w:val="fr-FR"/>
        </w:rPr>
        <w:t xml:space="preserve">Feuilles de paie </w:t>
      </w:r>
      <w:r w:rsidR="0021226D">
        <w:rPr>
          <w:rFonts w:cs="Arial"/>
          <w:lang w:val="fr-FR"/>
        </w:rPr>
        <w:t>;</w:t>
      </w:r>
    </w:p>
    <w:p w:rsidR="00CD40E0" w:rsidRPr="00D865CA" w:rsidRDefault="0021226D" w:rsidP="000F6A18">
      <w:pPr>
        <w:pStyle w:val="ListParagraph"/>
        <w:numPr>
          <w:ilvl w:val="1"/>
          <w:numId w:val="5"/>
        </w:numPr>
        <w:spacing w:after="0" w:line="240" w:lineRule="auto"/>
        <w:ind w:left="1843" w:hanging="425"/>
        <w:jc w:val="both"/>
        <w:rPr>
          <w:rFonts w:cs="Arial"/>
          <w:lang w:val="fr-FR"/>
        </w:rPr>
      </w:pPr>
      <w:r>
        <w:rPr>
          <w:rFonts w:cs="Arial"/>
          <w:lang w:val="fr-FR"/>
        </w:rPr>
        <w:t>Feuilles de temps datées et signées</w:t>
      </w:r>
      <w:r w:rsidR="00FE7490">
        <w:rPr>
          <w:rFonts w:cs="Arial"/>
          <w:lang w:val="fr-FR"/>
        </w:rPr>
        <w:t xml:space="preserve"> </w:t>
      </w:r>
      <w:r>
        <w:rPr>
          <w:rFonts w:cs="Arial"/>
          <w:lang w:val="fr-FR"/>
        </w:rPr>
        <w:t>;</w:t>
      </w:r>
    </w:p>
    <w:p w:rsidR="0021226D" w:rsidRDefault="0021226D" w:rsidP="000F6A18">
      <w:pPr>
        <w:pStyle w:val="ListParagraph"/>
        <w:numPr>
          <w:ilvl w:val="1"/>
          <w:numId w:val="5"/>
        </w:numPr>
        <w:spacing w:after="0" w:line="240" w:lineRule="auto"/>
        <w:ind w:left="1843" w:hanging="425"/>
        <w:jc w:val="both"/>
        <w:rPr>
          <w:rFonts w:cs="Arial"/>
          <w:lang w:val="fr-FR"/>
        </w:rPr>
      </w:pPr>
      <w:r w:rsidRPr="0021226D">
        <w:rPr>
          <w:rFonts w:cs="Arial"/>
          <w:lang w:val="fr-FR"/>
        </w:rPr>
        <w:t xml:space="preserve">Répartition entre salaire </w:t>
      </w:r>
      <w:r w:rsidR="000A32BF">
        <w:rPr>
          <w:rFonts w:cs="Arial"/>
          <w:lang w:val="fr-FR"/>
        </w:rPr>
        <w:t>brut</w:t>
      </w:r>
      <w:r w:rsidRPr="0021226D">
        <w:rPr>
          <w:rFonts w:cs="Arial"/>
          <w:lang w:val="fr-FR"/>
        </w:rPr>
        <w:t xml:space="preserve">, charges </w:t>
      </w:r>
      <w:r w:rsidR="000A32BF">
        <w:rPr>
          <w:rFonts w:cs="Arial"/>
          <w:lang w:val="fr-FR"/>
        </w:rPr>
        <w:t xml:space="preserve">de </w:t>
      </w:r>
      <w:r>
        <w:rPr>
          <w:rFonts w:cs="Arial"/>
          <w:lang w:val="fr-FR"/>
        </w:rPr>
        <w:t xml:space="preserve">sécurité </w:t>
      </w:r>
      <w:r w:rsidRPr="0021226D">
        <w:rPr>
          <w:rFonts w:cs="Arial"/>
          <w:lang w:val="fr-FR"/>
        </w:rPr>
        <w:t>sociale, assurance et salaire net</w:t>
      </w:r>
      <w:r w:rsidR="00FE7490">
        <w:rPr>
          <w:rFonts w:cs="Arial"/>
          <w:lang w:val="fr-FR"/>
        </w:rPr>
        <w:t xml:space="preserve"> </w:t>
      </w:r>
      <w:r w:rsidRPr="0021226D">
        <w:rPr>
          <w:rFonts w:cs="Arial"/>
          <w:lang w:val="fr-FR"/>
        </w:rPr>
        <w:t>;</w:t>
      </w:r>
    </w:p>
    <w:p w:rsidR="00CD40E0" w:rsidRPr="0021226D" w:rsidRDefault="0021226D" w:rsidP="000F6A18">
      <w:pPr>
        <w:pStyle w:val="ListParagraph"/>
        <w:numPr>
          <w:ilvl w:val="1"/>
          <w:numId w:val="5"/>
        </w:numPr>
        <w:spacing w:after="0" w:line="240" w:lineRule="auto"/>
        <w:ind w:left="1843" w:hanging="425"/>
        <w:jc w:val="both"/>
        <w:rPr>
          <w:rFonts w:cs="Arial"/>
          <w:lang w:val="fr-FR"/>
        </w:rPr>
      </w:pPr>
      <w:r>
        <w:rPr>
          <w:rFonts w:cs="Arial"/>
          <w:lang w:val="fr-FR"/>
        </w:rPr>
        <w:t>P</w:t>
      </w:r>
      <w:r w:rsidR="00C214A5" w:rsidRPr="0021226D">
        <w:rPr>
          <w:rFonts w:cs="Arial"/>
          <w:lang w:val="fr-FR"/>
        </w:rPr>
        <w:t>r</w:t>
      </w:r>
      <w:r>
        <w:rPr>
          <w:rFonts w:cs="Arial"/>
          <w:lang w:val="fr-FR"/>
        </w:rPr>
        <w:t>euve de taxe sur le revenu, charges sociales, assurances, etc. paiement des salaires par l’employeur.</w:t>
      </w:r>
    </w:p>
    <w:p w:rsidR="00CD40E0" w:rsidRPr="00D865CA" w:rsidRDefault="00CD40E0" w:rsidP="000F6A18">
      <w:pPr>
        <w:pStyle w:val="ListParagraph"/>
        <w:spacing w:line="240" w:lineRule="auto"/>
        <w:ind w:left="1276" w:hanging="425"/>
        <w:jc w:val="both"/>
        <w:rPr>
          <w:rFonts w:cs="Arial"/>
          <w:lang w:val="fr-FR"/>
        </w:rPr>
      </w:pPr>
    </w:p>
    <w:p w:rsidR="00CD40E0" w:rsidRPr="00D865CA" w:rsidRDefault="00C214A5" w:rsidP="000F6A18">
      <w:pPr>
        <w:pStyle w:val="ListParagraph"/>
        <w:numPr>
          <w:ilvl w:val="0"/>
          <w:numId w:val="5"/>
        </w:numPr>
        <w:spacing w:after="0" w:line="240" w:lineRule="auto"/>
        <w:ind w:left="1276" w:hanging="425"/>
        <w:jc w:val="both"/>
        <w:rPr>
          <w:rFonts w:cs="Arial"/>
          <w:b/>
          <w:lang w:val="fr-FR"/>
        </w:rPr>
      </w:pPr>
      <w:r w:rsidRPr="00D865CA">
        <w:rPr>
          <w:rFonts w:cs="Arial"/>
          <w:b/>
          <w:lang w:val="fr-FR"/>
        </w:rPr>
        <w:t xml:space="preserve">Per diem – </w:t>
      </w:r>
      <w:r w:rsidR="0021226D">
        <w:rPr>
          <w:rFonts w:cs="Arial"/>
          <w:b/>
          <w:lang w:val="fr-FR"/>
        </w:rPr>
        <w:t xml:space="preserve">sous Intitulé  du budget </w:t>
      </w:r>
      <w:r w:rsidRPr="00D865CA">
        <w:rPr>
          <w:rFonts w:cs="Arial"/>
          <w:b/>
          <w:lang w:val="fr-FR"/>
        </w:rPr>
        <w:t>“</w:t>
      </w:r>
      <w:r w:rsidR="0021226D">
        <w:rPr>
          <w:rFonts w:cs="Arial"/>
          <w:b/>
          <w:lang w:val="fr-FR"/>
        </w:rPr>
        <w:t xml:space="preserve"> Ressources humaines</w:t>
      </w:r>
      <w:r w:rsidRPr="00D865CA">
        <w:rPr>
          <w:rFonts w:cs="Arial"/>
          <w:b/>
          <w:lang w:val="fr-FR"/>
        </w:rPr>
        <w:t>”</w:t>
      </w:r>
    </w:p>
    <w:p w:rsidR="00CD40E0" w:rsidRPr="008E5546" w:rsidRDefault="008E5546" w:rsidP="000F6A18">
      <w:pPr>
        <w:pStyle w:val="ListParagraph"/>
        <w:numPr>
          <w:ilvl w:val="1"/>
          <w:numId w:val="5"/>
        </w:numPr>
        <w:spacing w:after="0" w:line="240" w:lineRule="auto"/>
        <w:ind w:left="1843" w:hanging="425"/>
        <w:jc w:val="both"/>
        <w:rPr>
          <w:rFonts w:cs="Arial"/>
          <w:b/>
          <w:lang w:val="fr-FR"/>
        </w:rPr>
      </w:pPr>
      <w:r w:rsidRPr="008E5546">
        <w:rPr>
          <w:rFonts w:cs="Arial"/>
          <w:lang w:val="fr-FR"/>
        </w:rPr>
        <w:t>En cas de choix de l’option coûts réels – toutes les factures sont ut</w:t>
      </w:r>
      <w:r>
        <w:rPr>
          <w:rFonts w:cs="Arial"/>
          <w:lang w:val="fr-FR"/>
        </w:rPr>
        <w:t>i</w:t>
      </w:r>
      <w:r w:rsidRPr="008E5546">
        <w:rPr>
          <w:rFonts w:cs="Arial"/>
          <w:lang w:val="fr-FR"/>
        </w:rPr>
        <w:t>l</w:t>
      </w:r>
      <w:r>
        <w:rPr>
          <w:rFonts w:cs="Arial"/>
          <w:lang w:val="fr-FR"/>
        </w:rPr>
        <w:t>isées</w:t>
      </w:r>
      <w:r w:rsidR="00C214A5" w:rsidRPr="008E5546">
        <w:rPr>
          <w:rFonts w:cs="Arial"/>
          <w:lang w:val="fr-FR"/>
        </w:rPr>
        <w:t xml:space="preserve">– </w:t>
      </w:r>
      <w:r>
        <w:rPr>
          <w:rFonts w:cs="Arial"/>
          <w:lang w:val="fr-FR"/>
        </w:rPr>
        <w:t>toutes factures et reçus doivent être gardés et compilées dans une table récapitulative ;</w:t>
      </w:r>
    </w:p>
    <w:p w:rsidR="00CD40E0" w:rsidRPr="008E5546" w:rsidRDefault="008E5546" w:rsidP="000F6A18">
      <w:pPr>
        <w:pStyle w:val="ListParagraph"/>
        <w:numPr>
          <w:ilvl w:val="1"/>
          <w:numId w:val="5"/>
        </w:numPr>
        <w:spacing w:after="0" w:line="240" w:lineRule="auto"/>
        <w:ind w:left="1843" w:hanging="425"/>
        <w:jc w:val="both"/>
        <w:rPr>
          <w:rFonts w:cs="Arial"/>
          <w:lang w:val="fr-FR"/>
        </w:rPr>
      </w:pPr>
      <w:r w:rsidRPr="008E5546">
        <w:rPr>
          <w:rFonts w:cs="Arial"/>
          <w:lang w:val="fr-FR"/>
        </w:rPr>
        <w:t>En cas de choix de l’option taux de p</w:t>
      </w:r>
      <w:r w:rsidR="00C214A5" w:rsidRPr="008E5546">
        <w:rPr>
          <w:rFonts w:cs="Arial"/>
          <w:lang w:val="fr-FR"/>
        </w:rPr>
        <w:t xml:space="preserve">er diem </w:t>
      </w:r>
      <w:r w:rsidRPr="008E5546">
        <w:rPr>
          <w:rFonts w:cs="Arial"/>
          <w:lang w:val="fr-FR"/>
        </w:rPr>
        <w:t>fixes</w:t>
      </w:r>
      <w:r w:rsidR="00C214A5" w:rsidRPr="008E5546">
        <w:rPr>
          <w:rFonts w:cs="Arial"/>
          <w:lang w:val="fr-FR"/>
        </w:rPr>
        <w:t xml:space="preserve"> – </w:t>
      </w:r>
      <w:r w:rsidRPr="008E5546">
        <w:rPr>
          <w:rFonts w:cs="Arial"/>
          <w:lang w:val="fr-FR"/>
        </w:rPr>
        <w:t>pre</w:t>
      </w:r>
      <w:r>
        <w:rPr>
          <w:rFonts w:cs="Arial"/>
          <w:lang w:val="fr-FR"/>
        </w:rPr>
        <w:t>u</w:t>
      </w:r>
      <w:r w:rsidRPr="008E5546">
        <w:rPr>
          <w:rFonts w:cs="Arial"/>
          <w:lang w:val="fr-FR"/>
        </w:rPr>
        <w:t>ve du paiement</w:t>
      </w:r>
      <w:r>
        <w:rPr>
          <w:rFonts w:cs="Arial"/>
          <w:lang w:val="fr-FR"/>
        </w:rPr>
        <w:t xml:space="preserve"> des per diem et </w:t>
      </w:r>
      <w:r w:rsidR="000A32BF">
        <w:rPr>
          <w:rFonts w:cs="Arial"/>
          <w:lang w:val="fr-FR"/>
        </w:rPr>
        <w:t xml:space="preserve">règlement </w:t>
      </w:r>
      <w:r>
        <w:rPr>
          <w:rFonts w:cs="Arial"/>
          <w:lang w:val="fr-FR"/>
        </w:rPr>
        <w:t xml:space="preserve"> utilisé par l’organisation en matière de déplacement ;</w:t>
      </w:r>
    </w:p>
    <w:p w:rsidR="00CD40E0" w:rsidRPr="008E5546" w:rsidRDefault="008E5546" w:rsidP="000F6A18">
      <w:pPr>
        <w:pStyle w:val="ListParagraph"/>
        <w:numPr>
          <w:ilvl w:val="1"/>
          <w:numId w:val="5"/>
        </w:numPr>
        <w:spacing w:after="0" w:line="240" w:lineRule="auto"/>
        <w:ind w:left="1843" w:hanging="425"/>
        <w:jc w:val="both"/>
        <w:rPr>
          <w:rFonts w:cs="Arial"/>
          <w:lang w:val="fr-FR"/>
        </w:rPr>
      </w:pPr>
      <w:r w:rsidRPr="008E5546">
        <w:rPr>
          <w:rFonts w:cs="Arial"/>
          <w:lang w:val="fr-FR"/>
        </w:rPr>
        <w:lastRenderedPageBreak/>
        <w:t xml:space="preserve">Dans tous les cas, il sera nécessaire de pouvoir </w:t>
      </w:r>
      <w:r>
        <w:rPr>
          <w:rFonts w:cs="Arial"/>
          <w:lang w:val="fr-FR"/>
        </w:rPr>
        <w:t>fournir des pièces justificatives de voyage et leurs motifs.</w:t>
      </w:r>
    </w:p>
    <w:p w:rsidR="00CD40E0" w:rsidRPr="008E5546" w:rsidRDefault="00CD40E0" w:rsidP="000F6A18">
      <w:pPr>
        <w:spacing w:after="0" w:line="240" w:lineRule="auto"/>
        <w:ind w:left="1276" w:hanging="425"/>
        <w:jc w:val="both"/>
        <w:rPr>
          <w:rFonts w:cs="Arial"/>
          <w:lang w:val="fr-FR"/>
        </w:rPr>
      </w:pPr>
    </w:p>
    <w:p w:rsidR="00CD40E0" w:rsidRPr="00D865CA" w:rsidRDefault="00E554C9" w:rsidP="000F6A18">
      <w:pPr>
        <w:pStyle w:val="ListParagraph"/>
        <w:numPr>
          <w:ilvl w:val="0"/>
          <w:numId w:val="5"/>
        </w:numPr>
        <w:spacing w:after="0" w:line="240" w:lineRule="auto"/>
        <w:ind w:left="1276" w:hanging="425"/>
        <w:jc w:val="both"/>
        <w:rPr>
          <w:rFonts w:cs="Arial"/>
          <w:b/>
          <w:lang w:val="fr-FR"/>
        </w:rPr>
      </w:pPr>
      <w:r>
        <w:rPr>
          <w:rFonts w:cs="Arial"/>
          <w:b/>
          <w:lang w:val="fr-FR"/>
        </w:rPr>
        <w:t>Déplacements</w:t>
      </w:r>
      <w:r w:rsidR="00C214A5" w:rsidRPr="00D865CA">
        <w:rPr>
          <w:rFonts w:cs="Arial"/>
          <w:b/>
          <w:lang w:val="fr-FR"/>
        </w:rPr>
        <w:t xml:space="preserve"> – </w:t>
      </w:r>
      <w:r>
        <w:rPr>
          <w:rFonts w:cs="Arial"/>
          <w:b/>
          <w:lang w:val="fr-FR"/>
        </w:rPr>
        <w:t xml:space="preserve"> sous Intitulé du budget </w:t>
      </w:r>
      <w:r w:rsidR="00C214A5" w:rsidRPr="00D865CA">
        <w:rPr>
          <w:rFonts w:cs="Arial"/>
          <w:b/>
          <w:lang w:val="fr-FR"/>
        </w:rPr>
        <w:t>“</w:t>
      </w:r>
      <w:r w:rsidR="000A32BF">
        <w:rPr>
          <w:rFonts w:cs="Arial"/>
          <w:b/>
          <w:lang w:val="fr-FR"/>
        </w:rPr>
        <w:t>Voyages</w:t>
      </w:r>
      <w:r w:rsidR="00C214A5" w:rsidRPr="00D865CA">
        <w:rPr>
          <w:rFonts w:cs="Arial"/>
          <w:b/>
          <w:lang w:val="fr-FR"/>
        </w:rPr>
        <w:t>”</w:t>
      </w:r>
    </w:p>
    <w:p w:rsidR="00CD40E0" w:rsidRPr="00E554C9" w:rsidRDefault="00E554C9" w:rsidP="000F6A18">
      <w:pPr>
        <w:pStyle w:val="ListParagraph"/>
        <w:numPr>
          <w:ilvl w:val="1"/>
          <w:numId w:val="5"/>
        </w:numPr>
        <w:spacing w:after="0" w:line="240" w:lineRule="auto"/>
        <w:ind w:left="1843" w:hanging="425"/>
        <w:jc w:val="both"/>
        <w:rPr>
          <w:rFonts w:cs="Arial"/>
          <w:lang w:val="fr-FR"/>
        </w:rPr>
      </w:pPr>
      <w:r w:rsidRPr="00E554C9">
        <w:rPr>
          <w:rFonts w:cs="Arial"/>
          <w:lang w:val="fr-FR"/>
        </w:rPr>
        <w:t xml:space="preserve">Facture ou e-ticket établissant </w:t>
      </w:r>
      <w:r w:rsidR="008E5546" w:rsidRPr="00E554C9">
        <w:rPr>
          <w:rFonts w:cs="Arial"/>
          <w:lang w:val="fr-FR"/>
        </w:rPr>
        <w:t>clairement</w:t>
      </w:r>
      <w:r w:rsidRPr="00E554C9">
        <w:rPr>
          <w:rFonts w:cs="Arial"/>
          <w:lang w:val="fr-FR"/>
        </w:rPr>
        <w:t xml:space="preserve"> le prix du voyage</w:t>
      </w:r>
      <w:r>
        <w:rPr>
          <w:rFonts w:cs="Arial"/>
          <w:lang w:val="fr-FR"/>
        </w:rPr>
        <w:t> ;</w:t>
      </w:r>
    </w:p>
    <w:p w:rsidR="00CD40E0" w:rsidRPr="00D865CA" w:rsidRDefault="00E554C9" w:rsidP="000F6A18">
      <w:pPr>
        <w:pStyle w:val="ListParagraph"/>
        <w:numPr>
          <w:ilvl w:val="1"/>
          <w:numId w:val="5"/>
        </w:numPr>
        <w:spacing w:after="0" w:line="240" w:lineRule="auto"/>
        <w:ind w:left="1843" w:hanging="425"/>
        <w:jc w:val="both"/>
        <w:rPr>
          <w:rFonts w:cs="Arial"/>
          <w:lang w:val="fr-FR"/>
        </w:rPr>
      </w:pPr>
      <w:r>
        <w:rPr>
          <w:rFonts w:cs="Arial"/>
          <w:lang w:val="fr-FR"/>
        </w:rPr>
        <w:t>Carte d’embarquement ;</w:t>
      </w:r>
    </w:p>
    <w:p w:rsidR="00CD40E0" w:rsidRPr="00863A6A" w:rsidRDefault="00E554C9" w:rsidP="000F6A18">
      <w:pPr>
        <w:pStyle w:val="ListParagraph"/>
        <w:numPr>
          <w:ilvl w:val="1"/>
          <w:numId w:val="5"/>
        </w:numPr>
        <w:spacing w:after="0" w:line="240" w:lineRule="auto"/>
        <w:ind w:left="1843" w:hanging="425"/>
        <w:jc w:val="both"/>
        <w:rPr>
          <w:rFonts w:cs="Arial"/>
          <w:lang w:val="fr-FR"/>
        </w:rPr>
      </w:pPr>
      <w:r w:rsidRPr="00863A6A">
        <w:rPr>
          <w:rFonts w:cs="Arial"/>
          <w:lang w:val="fr-FR"/>
        </w:rPr>
        <w:t xml:space="preserve">Motifs et preuve de l’objet du déplacement, tels qu’invitation personnelle,  agenda de l’évènement, </w:t>
      </w:r>
      <w:r w:rsidR="00ED065B" w:rsidRPr="00863A6A">
        <w:rPr>
          <w:rFonts w:cs="Arial"/>
          <w:lang w:val="fr-FR"/>
        </w:rPr>
        <w:t xml:space="preserve">présentation, </w:t>
      </w:r>
      <w:r w:rsidR="00615474" w:rsidRPr="00863A6A">
        <w:rPr>
          <w:rFonts w:cs="Arial"/>
          <w:lang w:val="fr-FR"/>
        </w:rPr>
        <w:t>intervention</w:t>
      </w:r>
      <w:r w:rsidR="00ED065B" w:rsidRPr="00863A6A">
        <w:rPr>
          <w:rFonts w:cs="Arial"/>
          <w:lang w:val="fr-FR"/>
        </w:rPr>
        <w:t xml:space="preserve">, </w:t>
      </w:r>
      <w:r w:rsidRPr="00863A6A">
        <w:rPr>
          <w:rFonts w:cs="Arial"/>
          <w:lang w:val="fr-FR"/>
        </w:rPr>
        <w:t>etc… ;</w:t>
      </w:r>
    </w:p>
    <w:p w:rsidR="00CD40E0" w:rsidRDefault="00C214A5" w:rsidP="000F6A18">
      <w:pPr>
        <w:pStyle w:val="ListParagraph"/>
        <w:numPr>
          <w:ilvl w:val="1"/>
          <w:numId w:val="5"/>
        </w:numPr>
        <w:spacing w:line="240" w:lineRule="auto"/>
        <w:ind w:left="1843" w:hanging="425"/>
        <w:jc w:val="both"/>
        <w:rPr>
          <w:rFonts w:cs="Arial"/>
          <w:lang w:val="fr-FR"/>
        </w:rPr>
      </w:pPr>
      <w:r w:rsidRPr="00E554C9">
        <w:rPr>
          <w:rFonts w:cs="Arial"/>
          <w:lang w:val="fr-FR"/>
        </w:rPr>
        <w:t>Pr</w:t>
      </w:r>
      <w:r w:rsidR="00E554C9" w:rsidRPr="00E554C9">
        <w:rPr>
          <w:rFonts w:cs="Arial"/>
          <w:lang w:val="fr-FR"/>
        </w:rPr>
        <w:t>euve de séjour sur place</w:t>
      </w:r>
      <w:r w:rsidRPr="00E554C9">
        <w:rPr>
          <w:rFonts w:cs="Arial"/>
          <w:lang w:val="fr-FR"/>
        </w:rPr>
        <w:t xml:space="preserve"> </w:t>
      </w:r>
      <w:r w:rsidR="00E554C9" w:rsidRPr="00E554C9">
        <w:rPr>
          <w:rFonts w:cs="Arial"/>
          <w:lang w:val="fr-FR"/>
        </w:rPr>
        <w:t>–</w:t>
      </w:r>
      <w:r w:rsidRPr="00E554C9">
        <w:rPr>
          <w:rFonts w:cs="Arial"/>
          <w:lang w:val="fr-FR"/>
        </w:rPr>
        <w:t xml:space="preserve"> </w:t>
      </w:r>
      <w:r w:rsidR="00E554C9" w:rsidRPr="00E554C9">
        <w:rPr>
          <w:rFonts w:cs="Arial"/>
          <w:lang w:val="fr-FR"/>
        </w:rPr>
        <w:t>facture d’hôtel, liste de réser</w:t>
      </w:r>
      <w:r w:rsidR="00E554C9">
        <w:rPr>
          <w:rFonts w:cs="Arial"/>
          <w:lang w:val="fr-FR"/>
        </w:rPr>
        <w:t>vations, liste de participants signée par chaque participant</w:t>
      </w:r>
      <w:r w:rsidRPr="00E554C9">
        <w:rPr>
          <w:rFonts w:cs="Arial"/>
          <w:lang w:val="fr-FR"/>
        </w:rPr>
        <w:t>.</w:t>
      </w:r>
    </w:p>
    <w:p w:rsidR="00FE7490" w:rsidRPr="00BE6A9F" w:rsidRDefault="00FE7490" w:rsidP="000F6A18">
      <w:pPr>
        <w:pStyle w:val="ListParagraph"/>
        <w:numPr>
          <w:ilvl w:val="1"/>
          <w:numId w:val="5"/>
        </w:numPr>
        <w:ind w:left="1843" w:hanging="425"/>
        <w:jc w:val="both"/>
        <w:rPr>
          <w:rFonts w:cs="Arial"/>
          <w:lang w:val="fr-FR"/>
        </w:rPr>
      </w:pPr>
      <w:r w:rsidRPr="00BE6A9F">
        <w:rPr>
          <w:rFonts w:cs="Arial"/>
          <w:lang w:val="fr-FR"/>
        </w:rPr>
        <w:t>C</w:t>
      </w:r>
      <w:r w:rsidR="00BE6A9F" w:rsidRPr="00BE6A9F">
        <w:rPr>
          <w:rFonts w:cs="Arial"/>
          <w:lang w:val="fr-FR"/>
        </w:rPr>
        <w:t>oûts</w:t>
      </w:r>
      <w:r w:rsidRPr="00BE6A9F">
        <w:rPr>
          <w:rFonts w:cs="Arial"/>
          <w:lang w:val="fr-FR"/>
        </w:rPr>
        <w:t xml:space="preserve"> </w:t>
      </w:r>
      <w:r w:rsidR="00BE6A9F" w:rsidRPr="00BE6A9F">
        <w:rPr>
          <w:rFonts w:cs="Arial"/>
          <w:lang w:val="fr-FR"/>
        </w:rPr>
        <w:t>d’utilisation du</w:t>
      </w:r>
      <w:r w:rsidR="00BE6A9F">
        <w:rPr>
          <w:rFonts w:cs="Arial"/>
          <w:lang w:val="fr-FR"/>
        </w:rPr>
        <w:t>/des</w:t>
      </w:r>
      <w:r w:rsidR="00BE6A9F" w:rsidRPr="00BE6A9F">
        <w:rPr>
          <w:rFonts w:cs="Arial"/>
          <w:lang w:val="fr-FR"/>
        </w:rPr>
        <w:t xml:space="preserve"> véhicule</w:t>
      </w:r>
      <w:r w:rsidR="00BE6A9F">
        <w:rPr>
          <w:rFonts w:cs="Arial"/>
          <w:lang w:val="fr-FR"/>
        </w:rPr>
        <w:t>(s)</w:t>
      </w:r>
      <w:r w:rsidR="00BE6A9F" w:rsidRPr="00BE6A9F">
        <w:rPr>
          <w:rFonts w:cs="Arial"/>
          <w:lang w:val="fr-FR"/>
        </w:rPr>
        <w:t xml:space="preserve"> personnel du/des bénéficiaires doivent être rapportés dans un</w:t>
      </w:r>
      <w:r w:rsidRPr="00BE6A9F">
        <w:rPr>
          <w:rFonts w:cs="Arial"/>
          <w:lang w:val="fr-FR"/>
        </w:rPr>
        <w:t xml:space="preserve"> journal de bord avec les détails des trajets et consommation de carburant  </w:t>
      </w:r>
      <w:r w:rsidR="00BE6A9F" w:rsidRPr="00BE6A9F">
        <w:rPr>
          <w:rFonts w:cs="Arial"/>
          <w:lang w:val="fr-FR"/>
        </w:rPr>
        <w:t>et doivent être calculés en utilisant les taux nationaux/territoriaux publiés pour l’utilisation de véhicule (lorsque disponibles)</w:t>
      </w:r>
      <w:r w:rsidRPr="00BE6A9F">
        <w:rPr>
          <w:rFonts w:cs="Arial"/>
          <w:lang w:val="fr-FR"/>
        </w:rPr>
        <w:t>.</w:t>
      </w:r>
    </w:p>
    <w:p w:rsidR="00CD40E0" w:rsidRPr="00BE6A9F" w:rsidRDefault="00CD40E0" w:rsidP="000F6A18">
      <w:pPr>
        <w:pStyle w:val="ListParagraph"/>
        <w:spacing w:after="0" w:line="240" w:lineRule="auto"/>
        <w:ind w:left="1276" w:hanging="425"/>
        <w:jc w:val="both"/>
        <w:rPr>
          <w:rFonts w:cs="Arial"/>
          <w:lang w:val="fr-FR"/>
        </w:rPr>
      </w:pPr>
    </w:p>
    <w:p w:rsidR="00CD40E0" w:rsidRPr="00D865CA" w:rsidRDefault="008E5546" w:rsidP="000F6A18">
      <w:pPr>
        <w:pStyle w:val="ListParagraph"/>
        <w:numPr>
          <w:ilvl w:val="0"/>
          <w:numId w:val="5"/>
        </w:numPr>
        <w:spacing w:after="0" w:line="240" w:lineRule="auto"/>
        <w:ind w:left="1276" w:hanging="425"/>
        <w:jc w:val="both"/>
        <w:rPr>
          <w:rFonts w:cs="Arial"/>
          <w:b/>
          <w:lang w:val="fr-FR"/>
        </w:rPr>
      </w:pPr>
      <w:r>
        <w:rPr>
          <w:rFonts w:cs="Arial"/>
          <w:b/>
          <w:lang w:val="fr-FR"/>
        </w:rPr>
        <w:t>Achats</w:t>
      </w:r>
      <w:r w:rsidR="00C214A5" w:rsidRPr="00D865CA">
        <w:rPr>
          <w:rFonts w:cs="Arial"/>
          <w:b/>
          <w:lang w:val="fr-FR"/>
        </w:rPr>
        <w:t xml:space="preserve"> –</w:t>
      </w:r>
      <w:r>
        <w:rPr>
          <w:rFonts w:cs="Arial"/>
          <w:b/>
          <w:lang w:val="fr-FR"/>
        </w:rPr>
        <w:t xml:space="preserve"> sous Intitulé </w:t>
      </w:r>
      <w:r w:rsidR="00C214A5" w:rsidRPr="00D865CA">
        <w:rPr>
          <w:rFonts w:cs="Arial"/>
          <w:b/>
          <w:lang w:val="fr-FR"/>
        </w:rPr>
        <w:t>“Equip</w:t>
      </w:r>
      <w:r>
        <w:rPr>
          <w:rFonts w:cs="Arial"/>
          <w:b/>
          <w:lang w:val="fr-FR"/>
        </w:rPr>
        <w:t>e</w:t>
      </w:r>
      <w:r w:rsidR="00C214A5" w:rsidRPr="00D865CA">
        <w:rPr>
          <w:rFonts w:cs="Arial"/>
          <w:b/>
          <w:lang w:val="fr-FR"/>
        </w:rPr>
        <w:t xml:space="preserve">ment </w:t>
      </w:r>
      <w:r>
        <w:rPr>
          <w:rFonts w:cs="Arial"/>
          <w:b/>
          <w:lang w:val="fr-FR"/>
        </w:rPr>
        <w:t>et fourniture</w:t>
      </w:r>
      <w:r w:rsidR="00C214A5" w:rsidRPr="00D865CA">
        <w:rPr>
          <w:rFonts w:cs="Arial"/>
          <w:b/>
          <w:lang w:val="fr-FR"/>
        </w:rPr>
        <w:t>”</w:t>
      </w:r>
    </w:p>
    <w:p w:rsidR="00CD40E0" w:rsidRPr="00D865CA" w:rsidRDefault="008E5546" w:rsidP="000F6A18">
      <w:pPr>
        <w:pStyle w:val="ListParagraph"/>
        <w:numPr>
          <w:ilvl w:val="1"/>
          <w:numId w:val="5"/>
        </w:numPr>
        <w:spacing w:after="0" w:line="240" w:lineRule="auto"/>
        <w:ind w:left="1843" w:hanging="425"/>
        <w:jc w:val="both"/>
        <w:rPr>
          <w:rFonts w:cs="Arial"/>
          <w:lang w:val="fr-FR"/>
        </w:rPr>
      </w:pPr>
      <w:r>
        <w:rPr>
          <w:rFonts w:cs="Arial"/>
          <w:lang w:val="fr-FR"/>
        </w:rPr>
        <w:t>Factures ;</w:t>
      </w:r>
    </w:p>
    <w:p w:rsidR="00CD40E0" w:rsidRPr="008E5546" w:rsidRDefault="00C214A5" w:rsidP="000F6A18">
      <w:pPr>
        <w:pStyle w:val="ListParagraph"/>
        <w:numPr>
          <w:ilvl w:val="1"/>
          <w:numId w:val="5"/>
        </w:numPr>
        <w:ind w:left="1843" w:hanging="425"/>
        <w:jc w:val="both"/>
        <w:rPr>
          <w:rFonts w:cs="Arial"/>
          <w:lang w:val="fr-FR"/>
        </w:rPr>
      </w:pPr>
      <w:r w:rsidRPr="008E5546">
        <w:rPr>
          <w:rFonts w:cs="Arial"/>
          <w:lang w:val="fr-FR"/>
        </w:rPr>
        <w:t>Pr</w:t>
      </w:r>
      <w:r w:rsidR="008E5546" w:rsidRPr="008E5546">
        <w:rPr>
          <w:rFonts w:cs="Arial"/>
          <w:lang w:val="fr-FR"/>
        </w:rPr>
        <w:t>euve de paiement des factures telle que relevés bancaires</w:t>
      </w:r>
      <w:r w:rsidRPr="008E5546">
        <w:rPr>
          <w:rFonts w:cs="Arial"/>
          <w:lang w:val="fr-FR"/>
        </w:rPr>
        <w:t xml:space="preserve">, </w:t>
      </w:r>
      <w:r w:rsidR="008E5546">
        <w:rPr>
          <w:rFonts w:cs="Arial"/>
          <w:lang w:val="fr-FR"/>
        </w:rPr>
        <w:t xml:space="preserve">notifications de débit, </w:t>
      </w:r>
      <w:r w:rsidR="004A65D4">
        <w:rPr>
          <w:rFonts w:cs="Arial"/>
          <w:lang w:val="fr-FR"/>
        </w:rPr>
        <w:t xml:space="preserve">éventuellement  confirmation de la réception de paiement par </w:t>
      </w:r>
      <w:r w:rsidR="004A65D4" w:rsidRPr="00863A6A">
        <w:rPr>
          <w:rFonts w:cs="Arial"/>
          <w:lang w:val="fr-FR"/>
        </w:rPr>
        <w:t>bénéficiaire</w:t>
      </w:r>
      <w:r w:rsidRPr="00863A6A">
        <w:rPr>
          <w:rFonts w:cs="Arial"/>
          <w:highlight w:val="green"/>
          <w:lang w:val="fr-FR"/>
        </w:rPr>
        <w:t>*</w:t>
      </w:r>
      <w:r w:rsidRPr="00863A6A">
        <w:rPr>
          <w:rFonts w:cs="Arial"/>
          <w:lang w:val="fr-FR"/>
        </w:rPr>
        <w:t>.</w:t>
      </w:r>
      <w:r w:rsidRPr="008E5546">
        <w:rPr>
          <w:rFonts w:cs="Arial"/>
          <w:lang w:val="fr-FR"/>
        </w:rPr>
        <w:t xml:space="preserve"> </w:t>
      </w:r>
    </w:p>
    <w:p w:rsidR="00CD40E0" w:rsidRPr="008B2DBD" w:rsidRDefault="00C214A5" w:rsidP="000F6A18">
      <w:pPr>
        <w:pStyle w:val="ListParagraph"/>
        <w:numPr>
          <w:ilvl w:val="1"/>
          <w:numId w:val="5"/>
        </w:numPr>
        <w:spacing w:after="0" w:line="240" w:lineRule="auto"/>
        <w:ind w:left="1843" w:hanging="425"/>
        <w:jc w:val="both"/>
        <w:rPr>
          <w:rFonts w:cs="Arial"/>
          <w:lang w:val="fr-FR"/>
        </w:rPr>
      </w:pPr>
      <w:r w:rsidRPr="008B2DBD">
        <w:rPr>
          <w:rFonts w:cs="Arial"/>
          <w:lang w:val="fr-FR"/>
        </w:rPr>
        <w:t>Pr</w:t>
      </w:r>
      <w:r w:rsidR="008B2DBD" w:rsidRPr="008B2DBD">
        <w:rPr>
          <w:rFonts w:cs="Arial"/>
          <w:lang w:val="fr-FR"/>
        </w:rPr>
        <w:t>euve de livraison de biens telle que bons de livraison d</w:t>
      </w:r>
      <w:r w:rsidR="008B2DBD">
        <w:rPr>
          <w:rFonts w:cs="Arial"/>
          <w:lang w:val="fr-FR"/>
        </w:rPr>
        <w:t>e la part du fournisseur ;</w:t>
      </w:r>
    </w:p>
    <w:p w:rsidR="00CD40E0" w:rsidRPr="008B2DBD" w:rsidRDefault="008B2DBD" w:rsidP="000F6A18">
      <w:pPr>
        <w:pStyle w:val="ListParagraph"/>
        <w:numPr>
          <w:ilvl w:val="1"/>
          <w:numId w:val="5"/>
        </w:numPr>
        <w:spacing w:after="0" w:line="240" w:lineRule="auto"/>
        <w:ind w:left="1843" w:hanging="425"/>
        <w:jc w:val="both"/>
        <w:rPr>
          <w:rFonts w:cs="Arial"/>
          <w:lang w:val="fr-FR"/>
        </w:rPr>
      </w:pPr>
      <w:r w:rsidRPr="008B2DBD">
        <w:rPr>
          <w:rFonts w:cs="Arial"/>
          <w:lang w:val="fr-FR"/>
        </w:rPr>
        <w:t>Pour les dépenses en carburant</w:t>
      </w:r>
      <w:r w:rsidR="00C214A5" w:rsidRPr="008B2DBD">
        <w:rPr>
          <w:rFonts w:cs="Arial"/>
          <w:lang w:val="fr-FR"/>
        </w:rPr>
        <w:t>,</w:t>
      </w:r>
      <w:r w:rsidRPr="008B2DBD">
        <w:rPr>
          <w:rFonts w:cs="Arial"/>
          <w:lang w:val="fr-FR"/>
        </w:rPr>
        <w:t xml:space="preserve"> une liste résumée des</w:t>
      </w:r>
      <w:r>
        <w:rPr>
          <w:rFonts w:cs="Arial"/>
          <w:lang w:val="fr-FR"/>
        </w:rPr>
        <w:t xml:space="preserve"> distances parcourues, la consommation moyenne du véhicule utilisé, coûts en carburant et coûts de maintenance du véhicule.</w:t>
      </w:r>
    </w:p>
    <w:p w:rsidR="00CD40E0" w:rsidRPr="008B2DBD" w:rsidRDefault="00CD40E0" w:rsidP="000F6A18">
      <w:pPr>
        <w:pStyle w:val="ListParagraph"/>
        <w:spacing w:after="0" w:line="240" w:lineRule="auto"/>
        <w:ind w:left="1276" w:hanging="425"/>
        <w:jc w:val="both"/>
        <w:rPr>
          <w:rFonts w:cs="Arial"/>
          <w:lang w:val="fr-FR"/>
        </w:rPr>
      </w:pPr>
    </w:p>
    <w:p w:rsidR="00CD40E0" w:rsidRPr="00D865CA" w:rsidRDefault="008B2DBD" w:rsidP="000F6A18">
      <w:pPr>
        <w:pStyle w:val="ListParagraph"/>
        <w:numPr>
          <w:ilvl w:val="0"/>
          <w:numId w:val="5"/>
        </w:numPr>
        <w:spacing w:after="0" w:line="240" w:lineRule="auto"/>
        <w:ind w:left="1276" w:hanging="425"/>
        <w:jc w:val="both"/>
        <w:rPr>
          <w:rFonts w:cs="Arial"/>
          <w:b/>
          <w:lang w:val="fr-FR"/>
        </w:rPr>
      </w:pPr>
      <w:r>
        <w:rPr>
          <w:rFonts w:cs="Arial"/>
          <w:b/>
          <w:lang w:val="fr-FR"/>
        </w:rPr>
        <w:t>Achats – sous Intitulé «</w:t>
      </w:r>
      <w:r w:rsidR="000A32BF">
        <w:rPr>
          <w:rFonts w:cs="Arial"/>
          <w:b/>
          <w:lang w:val="fr-FR"/>
        </w:rPr>
        <w:t>Bureau local</w:t>
      </w:r>
      <w:r>
        <w:rPr>
          <w:rFonts w:cs="Arial"/>
          <w:b/>
          <w:lang w:val="fr-FR"/>
        </w:rPr>
        <w:t>»</w:t>
      </w:r>
    </w:p>
    <w:p w:rsidR="00CD40E0" w:rsidRPr="00D865CA" w:rsidRDefault="008B2DBD" w:rsidP="002E36E2">
      <w:pPr>
        <w:pStyle w:val="ListParagraph"/>
        <w:numPr>
          <w:ilvl w:val="1"/>
          <w:numId w:val="5"/>
        </w:numPr>
        <w:spacing w:after="0" w:line="240" w:lineRule="auto"/>
        <w:ind w:left="1843" w:hanging="425"/>
        <w:jc w:val="both"/>
        <w:rPr>
          <w:rFonts w:cs="Arial"/>
          <w:lang w:val="fr-FR"/>
        </w:rPr>
      </w:pPr>
      <w:r>
        <w:rPr>
          <w:rFonts w:cs="Arial"/>
          <w:lang w:val="fr-FR"/>
        </w:rPr>
        <w:t>Factures ;</w:t>
      </w:r>
    </w:p>
    <w:p w:rsidR="00CD40E0" w:rsidRPr="00D865CA" w:rsidRDefault="00C214A5" w:rsidP="002E36E2">
      <w:pPr>
        <w:pStyle w:val="ListParagraph"/>
        <w:numPr>
          <w:ilvl w:val="1"/>
          <w:numId w:val="5"/>
        </w:numPr>
        <w:spacing w:after="0" w:line="240" w:lineRule="auto"/>
        <w:ind w:left="1843" w:hanging="425"/>
        <w:jc w:val="both"/>
        <w:rPr>
          <w:rFonts w:cs="Arial"/>
          <w:lang w:val="fr-FR"/>
        </w:rPr>
      </w:pPr>
      <w:r w:rsidRPr="00D865CA">
        <w:rPr>
          <w:rFonts w:cs="Arial"/>
          <w:lang w:val="fr-FR"/>
        </w:rPr>
        <w:t>Pr</w:t>
      </w:r>
      <w:r w:rsidR="008B2DBD">
        <w:rPr>
          <w:rFonts w:cs="Arial"/>
          <w:lang w:val="fr-FR"/>
        </w:rPr>
        <w:t>euve de paiements des factures ;</w:t>
      </w:r>
    </w:p>
    <w:p w:rsidR="00CD40E0" w:rsidRDefault="00FE7490" w:rsidP="002E36E2">
      <w:pPr>
        <w:pStyle w:val="ListParagraph"/>
        <w:numPr>
          <w:ilvl w:val="1"/>
          <w:numId w:val="5"/>
        </w:numPr>
        <w:spacing w:after="0" w:line="240" w:lineRule="auto"/>
        <w:ind w:left="1843" w:hanging="425"/>
        <w:jc w:val="both"/>
        <w:rPr>
          <w:rFonts w:cs="Arial"/>
          <w:lang w:val="fr-FR"/>
        </w:rPr>
      </w:pPr>
      <w:r>
        <w:rPr>
          <w:rFonts w:cs="Arial"/>
          <w:lang w:val="fr-FR"/>
        </w:rPr>
        <w:t>Contrat de location ;</w:t>
      </w:r>
    </w:p>
    <w:p w:rsidR="002E36E2" w:rsidRPr="002E36E2" w:rsidRDefault="002E36E2" w:rsidP="002E36E2">
      <w:pPr>
        <w:pStyle w:val="ListParagraph"/>
        <w:numPr>
          <w:ilvl w:val="1"/>
          <w:numId w:val="5"/>
        </w:numPr>
        <w:ind w:left="1843" w:hanging="425"/>
        <w:rPr>
          <w:rFonts w:cs="Arial"/>
          <w:lang w:val="fr-FR"/>
        </w:rPr>
      </w:pPr>
      <w:r w:rsidRPr="002E36E2">
        <w:rPr>
          <w:rFonts w:cs="Arial"/>
          <w:lang w:val="fr-FR"/>
        </w:rPr>
        <w:t>Coûts d’utilisation du/des véhicule(s) personnel du/des bénéficiaires doivent être rapportés dans un journal de bord avec les détails des trajets et consommation de carburant  et doivent être calculés en utilisant les taux nationaux/territoriaux publiés pour l’utilisation de véhicule (lorsque disponibles).</w:t>
      </w:r>
    </w:p>
    <w:p w:rsidR="002E36E2" w:rsidRDefault="002E36E2" w:rsidP="002E36E2">
      <w:pPr>
        <w:pStyle w:val="ListParagraph"/>
        <w:spacing w:after="0" w:line="240" w:lineRule="auto"/>
        <w:ind w:left="1843"/>
        <w:jc w:val="both"/>
        <w:rPr>
          <w:rFonts w:cs="Arial"/>
          <w:lang w:val="fr-FR"/>
        </w:rPr>
      </w:pPr>
    </w:p>
    <w:p w:rsidR="00CD40E0" w:rsidRPr="00F16733" w:rsidRDefault="00F16733" w:rsidP="000F6A18">
      <w:pPr>
        <w:pStyle w:val="ListParagraph"/>
        <w:numPr>
          <w:ilvl w:val="0"/>
          <w:numId w:val="5"/>
        </w:numPr>
        <w:spacing w:after="0" w:line="240" w:lineRule="auto"/>
        <w:ind w:left="1276" w:hanging="425"/>
        <w:jc w:val="both"/>
        <w:rPr>
          <w:rFonts w:cs="Arial"/>
          <w:b/>
          <w:lang w:val="fr-FR"/>
        </w:rPr>
      </w:pPr>
      <w:r w:rsidRPr="00F16733">
        <w:rPr>
          <w:rFonts w:cs="Arial"/>
          <w:b/>
          <w:lang w:val="fr-FR"/>
        </w:rPr>
        <w:t>Marchés</w:t>
      </w:r>
      <w:r w:rsidR="00C214A5" w:rsidRPr="00F16733">
        <w:rPr>
          <w:rFonts w:cs="Arial"/>
          <w:b/>
          <w:lang w:val="fr-FR"/>
        </w:rPr>
        <w:t xml:space="preserve"> –</w:t>
      </w:r>
      <w:r w:rsidRPr="00F16733">
        <w:rPr>
          <w:rFonts w:cs="Arial"/>
          <w:b/>
          <w:lang w:val="fr-FR"/>
        </w:rPr>
        <w:t xml:space="preserve"> sous Intitulé “Autres coûts et services</w:t>
      </w:r>
      <w:r w:rsidR="00C214A5" w:rsidRPr="00F16733">
        <w:rPr>
          <w:rFonts w:cs="Arial"/>
          <w:b/>
          <w:lang w:val="fr-FR"/>
        </w:rPr>
        <w:t>“</w:t>
      </w:r>
      <w:r w:rsidRPr="00F16733">
        <w:rPr>
          <w:rFonts w:cs="Arial"/>
          <w:b/>
          <w:lang w:val="fr-FR"/>
        </w:rPr>
        <w:t xml:space="preserve"> ou “Autres”</w:t>
      </w:r>
      <w:r>
        <w:rPr>
          <w:rFonts w:cs="Arial"/>
          <w:b/>
          <w:lang w:val="fr-FR"/>
        </w:rPr>
        <w:t xml:space="preserve"> </w:t>
      </w:r>
    </w:p>
    <w:p w:rsidR="00CD40E0" w:rsidRPr="0093303A" w:rsidRDefault="00C214A5" w:rsidP="000F6A18">
      <w:pPr>
        <w:pStyle w:val="ListParagraph"/>
        <w:numPr>
          <w:ilvl w:val="1"/>
          <w:numId w:val="5"/>
        </w:numPr>
        <w:spacing w:after="0" w:line="240" w:lineRule="auto"/>
        <w:ind w:left="1843" w:hanging="425"/>
        <w:jc w:val="both"/>
        <w:rPr>
          <w:rFonts w:cs="Arial"/>
          <w:lang w:val="fr-FR"/>
        </w:rPr>
      </w:pPr>
      <w:r w:rsidRPr="0093303A">
        <w:rPr>
          <w:rFonts w:cs="Arial"/>
          <w:lang w:val="fr-FR"/>
        </w:rPr>
        <w:t>Pr</w:t>
      </w:r>
      <w:r w:rsidR="0093303A" w:rsidRPr="0093303A">
        <w:rPr>
          <w:rFonts w:cs="Arial"/>
          <w:lang w:val="fr-FR"/>
        </w:rPr>
        <w:t xml:space="preserve">euve des procédures de marché telle que </w:t>
      </w:r>
      <w:r w:rsidR="0093303A">
        <w:rPr>
          <w:rFonts w:cs="Arial"/>
          <w:lang w:val="fr-FR"/>
        </w:rPr>
        <w:t>documents d’appel, </w:t>
      </w:r>
      <w:r w:rsidR="0093303A" w:rsidRPr="0093303A">
        <w:rPr>
          <w:rFonts w:cs="Arial"/>
          <w:lang w:val="fr-FR"/>
        </w:rPr>
        <w:t xml:space="preserve"> demande d</w:t>
      </w:r>
      <w:r w:rsidR="0093303A">
        <w:rPr>
          <w:rFonts w:cs="Arial"/>
          <w:lang w:val="fr-FR"/>
        </w:rPr>
        <w:t>e devis, offres reçues, évaluation des offres;</w:t>
      </w:r>
    </w:p>
    <w:p w:rsidR="00CD40E0" w:rsidRPr="0093303A" w:rsidRDefault="00C214A5" w:rsidP="000F6A18">
      <w:pPr>
        <w:pStyle w:val="ListParagraph"/>
        <w:numPr>
          <w:ilvl w:val="1"/>
          <w:numId w:val="5"/>
        </w:numPr>
        <w:spacing w:after="0" w:line="240" w:lineRule="auto"/>
        <w:ind w:left="1843" w:hanging="425"/>
        <w:jc w:val="both"/>
        <w:rPr>
          <w:rFonts w:cs="Arial"/>
          <w:lang w:val="fr-FR"/>
        </w:rPr>
      </w:pPr>
      <w:r w:rsidRPr="0093303A">
        <w:rPr>
          <w:rFonts w:cs="Arial"/>
          <w:lang w:val="fr-FR"/>
        </w:rPr>
        <w:t>Pr</w:t>
      </w:r>
      <w:r w:rsidR="0093303A" w:rsidRPr="0093303A">
        <w:rPr>
          <w:rFonts w:cs="Arial"/>
          <w:lang w:val="fr-FR"/>
        </w:rPr>
        <w:t xml:space="preserve">euve d’engagement telle </w:t>
      </w:r>
      <w:r w:rsidR="00A85E40">
        <w:rPr>
          <w:rFonts w:cs="Arial"/>
          <w:lang w:val="fr-FR"/>
        </w:rPr>
        <w:t xml:space="preserve">que </w:t>
      </w:r>
      <w:r w:rsidR="0093303A" w:rsidRPr="0093303A">
        <w:rPr>
          <w:rFonts w:cs="Arial"/>
          <w:lang w:val="fr-FR"/>
        </w:rPr>
        <w:t>contrats et autre formulaire</w:t>
      </w:r>
      <w:r w:rsidR="0093303A">
        <w:rPr>
          <w:rFonts w:cs="Arial"/>
          <w:lang w:val="fr-FR"/>
        </w:rPr>
        <w:t>s ;</w:t>
      </w:r>
    </w:p>
    <w:p w:rsidR="00CD40E0" w:rsidRPr="0093303A" w:rsidRDefault="00C214A5" w:rsidP="000F6A18">
      <w:pPr>
        <w:pStyle w:val="ListParagraph"/>
        <w:numPr>
          <w:ilvl w:val="1"/>
          <w:numId w:val="5"/>
        </w:numPr>
        <w:spacing w:after="0" w:line="240" w:lineRule="auto"/>
        <w:ind w:left="1843" w:hanging="425"/>
        <w:jc w:val="both"/>
        <w:rPr>
          <w:rFonts w:cs="Arial"/>
          <w:lang w:val="fr-FR"/>
        </w:rPr>
      </w:pPr>
      <w:r w:rsidRPr="0093303A">
        <w:rPr>
          <w:rFonts w:cs="Arial"/>
          <w:lang w:val="fr-FR"/>
        </w:rPr>
        <w:t>Pr</w:t>
      </w:r>
      <w:r w:rsidR="0093303A" w:rsidRPr="0093303A">
        <w:rPr>
          <w:rFonts w:cs="Arial"/>
          <w:lang w:val="fr-FR"/>
        </w:rPr>
        <w:t>euve de</w:t>
      </w:r>
      <w:r w:rsidR="0093303A">
        <w:rPr>
          <w:rFonts w:cs="Arial"/>
          <w:lang w:val="fr-FR"/>
        </w:rPr>
        <w:t xml:space="preserve"> </w:t>
      </w:r>
      <w:r w:rsidR="0093303A" w:rsidRPr="0093303A">
        <w:rPr>
          <w:rFonts w:cs="Arial"/>
          <w:lang w:val="fr-FR"/>
        </w:rPr>
        <w:t>réception des biens telle que bons de livraison des fournisseurs;</w:t>
      </w:r>
      <w:r w:rsidRPr="0093303A">
        <w:rPr>
          <w:rFonts w:cs="Arial"/>
          <w:lang w:val="fr-FR"/>
        </w:rPr>
        <w:t xml:space="preserve"> </w:t>
      </w:r>
    </w:p>
    <w:p w:rsidR="00CD40E0" w:rsidRPr="0093303A" w:rsidRDefault="00C214A5" w:rsidP="000F6A18">
      <w:pPr>
        <w:pStyle w:val="ListParagraph"/>
        <w:numPr>
          <w:ilvl w:val="1"/>
          <w:numId w:val="5"/>
        </w:numPr>
        <w:spacing w:after="0" w:line="240" w:lineRule="auto"/>
        <w:ind w:left="1843" w:hanging="425"/>
        <w:jc w:val="both"/>
        <w:rPr>
          <w:rFonts w:cs="Arial"/>
          <w:lang w:val="fr-FR"/>
        </w:rPr>
      </w:pPr>
      <w:r w:rsidRPr="0093303A">
        <w:rPr>
          <w:rFonts w:cs="Arial"/>
          <w:lang w:val="fr-FR"/>
        </w:rPr>
        <w:t>Pr</w:t>
      </w:r>
      <w:r w:rsidR="0093303A" w:rsidRPr="0093303A">
        <w:rPr>
          <w:rFonts w:cs="Arial"/>
          <w:lang w:val="fr-FR"/>
        </w:rPr>
        <w:t>euve de</w:t>
      </w:r>
      <w:r w:rsidR="0093303A">
        <w:rPr>
          <w:rFonts w:cs="Arial"/>
          <w:lang w:val="fr-FR"/>
        </w:rPr>
        <w:t xml:space="preserve"> </w:t>
      </w:r>
      <w:r w:rsidR="0093303A" w:rsidRPr="0093303A">
        <w:rPr>
          <w:rFonts w:cs="Arial"/>
          <w:lang w:val="fr-FR"/>
        </w:rPr>
        <w:t>réalisation des travaux telle que certificat</w:t>
      </w:r>
      <w:r w:rsidR="0093303A">
        <w:rPr>
          <w:rFonts w:cs="Arial"/>
          <w:lang w:val="fr-FR"/>
        </w:rPr>
        <w:t>s</w:t>
      </w:r>
      <w:r w:rsidR="0093303A" w:rsidRPr="0093303A">
        <w:rPr>
          <w:rFonts w:cs="Arial"/>
          <w:lang w:val="fr-FR"/>
        </w:rPr>
        <w:t xml:space="preserve"> de réception et d’acceptation;</w:t>
      </w:r>
      <w:r w:rsidRPr="0093303A">
        <w:rPr>
          <w:rFonts w:cs="Arial"/>
          <w:lang w:val="fr-FR"/>
        </w:rPr>
        <w:t xml:space="preserve"> </w:t>
      </w:r>
    </w:p>
    <w:p w:rsidR="00CD40E0" w:rsidRPr="0093303A" w:rsidRDefault="00C214A5" w:rsidP="000F6A18">
      <w:pPr>
        <w:pStyle w:val="ListParagraph"/>
        <w:numPr>
          <w:ilvl w:val="1"/>
          <w:numId w:val="5"/>
        </w:numPr>
        <w:spacing w:after="0" w:line="240" w:lineRule="auto"/>
        <w:ind w:left="1843" w:hanging="425"/>
        <w:jc w:val="both"/>
        <w:rPr>
          <w:rFonts w:cs="Arial"/>
          <w:lang w:val="fr-FR"/>
        </w:rPr>
      </w:pPr>
      <w:r w:rsidRPr="0093303A">
        <w:rPr>
          <w:rFonts w:cs="Arial"/>
          <w:lang w:val="fr-FR"/>
        </w:rPr>
        <w:t>Pr</w:t>
      </w:r>
      <w:r w:rsidR="0093303A" w:rsidRPr="0093303A">
        <w:rPr>
          <w:rFonts w:cs="Arial"/>
          <w:lang w:val="fr-FR"/>
        </w:rPr>
        <w:t>euve d’achat telle que factures et reçus ;</w:t>
      </w:r>
      <w:r w:rsidRPr="0093303A">
        <w:rPr>
          <w:rFonts w:cs="Arial"/>
          <w:lang w:val="fr-FR"/>
        </w:rPr>
        <w:t xml:space="preserve"> </w:t>
      </w:r>
    </w:p>
    <w:p w:rsidR="00CD40E0" w:rsidRPr="00863A6A" w:rsidRDefault="00C214A5" w:rsidP="000F6A18">
      <w:pPr>
        <w:pStyle w:val="ListParagraph"/>
        <w:numPr>
          <w:ilvl w:val="1"/>
          <w:numId w:val="5"/>
        </w:numPr>
        <w:spacing w:after="0" w:line="240" w:lineRule="auto"/>
        <w:ind w:left="1843" w:hanging="425"/>
        <w:jc w:val="both"/>
        <w:rPr>
          <w:rFonts w:cs="Arial"/>
          <w:lang w:val="fr-FR"/>
        </w:rPr>
      </w:pPr>
      <w:r w:rsidRPr="00863A6A">
        <w:rPr>
          <w:rFonts w:cs="Arial"/>
          <w:lang w:val="fr-FR"/>
        </w:rPr>
        <w:t>Pr</w:t>
      </w:r>
      <w:r w:rsidR="0093303A" w:rsidRPr="00863A6A">
        <w:rPr>
          <w:rFonts w:cs="Arial"/>
          <w:lang w:val="fr-FR"/>
        </w:rPr>
        <w:t xml:space="preserve">euve de paiement telle que relevés </w:t>
      </w:r>
      <w:r w:rsidR="00A14C08">
        <w:rPr>
          <w:rFonts w:cs="Arial"/>
          <w:lang w:val="fr-FR"/>
        </w:rPr>
        <w:t>bancaires</w:t>
      </w:r>
      <w:r w:rsidRPr="00863A6A">
        <w:rPr>
          <w:rFonts w:cs="Arial"/>
          <w:lang w:val="fr-FR"/>
        </w:rPr>
        <w:t>,</w:t>
      </w:r>
      <w:r w:rsidR="0093303A" w:rsidRPr="00863A6A">
        <w:rPr>
          <w:rFonts w:cs="Arial"/>
          <w:lang w:val="fr-FR"/>
        </w:rPr>
        <w:t xml:space="preserve"> notifications de débits, </w:t>
      </w:r>
      <w:r w:rsidR="004A65D4" w:rsidRPr="00863A6A">
        <w:rPr>
          <w:rFonts w:cs="Arial"/>
          <w:lang w:val="fr-FR"/>
        </w:rPr>
        <w:t xml:space="preserve">confirmation de la réception de paiement par le </w:t>
      </w:r>
      <w:proofErr w:type="spellStart"/>
      <w:r w:rsidR="004A65D4" w:rsidRPr="00863A6A">
        <w:rPr>
          <w:rFonts w:cs="Arial"/>
          <w:lang w:val="fr-FR"/>
        </w:rPr>
        <w:t>bénéficiare</w:t>
      </w:r>
      <w:proofErr w:type="spellEnd"/>
      <w:r w:rsidRPr="00863A6A">
        <w:rPr>
          <w:rFonts w:cs="Arial"/>
          <w:highlight w:val="green"/>
          <w:lang w:val="fr-FR"/>
        </w:rPr>
        <w:t>*</w:t>
      </w:r>
      <w:r w:rsidRPr="00863A6A">
        <w:rPr>
          <w:rFonts w:cs="Arial"/>
          <w:lang w:val="fr-FR"/>
        </w:rPr>
        <w:t xml:space="preserve">. </w:t>
      </w:r>
    </w:p>
    <w:p w:rsidR="00CD40E0" w:rsidRPr="00863A6A" w:rsidRDefault="0093303A" w:rsidP="000F6A18">
      <w:pPr>
        <w:pStyle w:val="ListParagraph"/>
        <w:numPr>
          <w:ilvl w:val="1"/>
          <w:numId w:val="5"/>
        </w:numPr>
        <w:spacing w:after="0" w:line="240" w:lineRule="auto"/>
        <w:ind w:left="1843" w:hanging="425"/>
        <w:jc w:val="both"/>
        <w:rPr>
          <w:rFonts w:cs="Arial"/>
          <w:lang w:val="fr-FR"/>
        </w:rPr>
      </w:pPr>
      <w:r w:rsidRPr="00863A6A">
        <w:rPr>
          <w:rFonts w:cs="Arial"/>
          <w:lang w:val="fr-FR"/>
        </w:rPr>
        <w:t>Preuve du travail réalisé telle que rapports, études et autres livrables validés.</w:t>
      </w:r>
    </w:p>
    <w:p w:rsidR="00CD40E0" w:rsidRDefault="00CD40E0" w:rsidP="000F6A18">
      <w:pPr>
        <w:pStyle w:val="ListParagraph"/>
        <w:spacing w:after="0" w:line="240" w:lineRule="auto"/>
        <w:ind w:left="1276" w:hanging="425"/>
        <w:jc w:val="both"/>
        <w:rPr>
          <w:rFonts w:cs="Arial"/>
          <w:lang w:val="fr-FR"/>
        </w:rPr>
      </w:pPr>
    </w:p>
    <w:p w:rsidR="00572A7C" w:rsidRPr="0093303A" w:rsidRDefault="00572A7C" w:rsidP="000F6A18">
      <w:pPr>
        <w:pStyle w:val="ListParagraph"/>
        <w:spacing w:after="0" w:line="240" w:lineRule="auto"/>
        <w:ind w:left="1276" w:hanging="425"/>
        <w:jc w:val="both"/>
        <w:rPr>
          <w:rFonts w:cs="Arial"/>
          <w:lang w:val="fr-FR"/>
        </w:rPr>
      </w:pPr>
    </w:p>
    <w:p w:rsidR="00CD40E0" w:rsidRPr="002F64AF" w:rsidRDefault="002F64AF" w:rsidP="000F6A18">
      <w:pPr>
        <w:pStyle w:val="ListParagraph"/>
        <w:numPr>
          <w:ilvl w:val="0"/>
          <w:numId w:val="5"/>
        </w:numPr>
        <w:spacing w:after="0" w:line="240" w:lineRule="auto"/>
        <w:ind w:left="1276" w:hanging="425"/>
        <w:jc w:val="both"/>
        <w:rPr>
          <w:rFonts w:cs="Arial"/>
          <w:b/>
          <w:lang w:val="fr-FR"/>
        </w:rPr>
      </w:pPr>
      <w:r w:rsidRPr="002F64AF">
        <w:rPr>
          <w:rFonts w:cs="Arial"/>
          <w:b/>
          <w:lang w:val="fr-FR"/>
        </w:rPr>
        <w:lastRenderedPageBreak/>
        <w:t>Réunions, ateliers, séminaires et autres évènements du projet</w:t>
      </w:r>
      <w:r w:rsidR="00C214A5" w:rsidRPr="002F64AF">
        <w:rPr>
          <w:rFonts w:cs="Arial"/>
          <w:b/>
          <w:lang w:val="fr-FR"/>
        </w:rPr>
        <w:t>.</w:t>
      </w:r>
    </w:p>
    <w:p w:rsidR="00CD40E0" w:rsidRPr="00D865CA" w:rsidRDefault="00C214A5" w:rsidP="000F6A18">
      <w:pPr>
        <w:pStyle w:val="ListParagraph"/>
        <w:numPr>
          <w:ilvl w:val="1"/>
          <w:numId w:val="5"/>
        </w:numPr>
        <w:spacing w:after="0" w:line="240" w:lineRule="auto"/>
        <w:ind w:left="1843" w:hanging="425"/>
        <w:jc w:val="both"/>
        <w:rPr>
          <w:rFonts w:cs="Arial"/>
          <w:lang w:val="fr-FR"/>
        </w:rPr>
      </w:pPr>
      <w:r w:rsidRPr="00D865CA">
        <w:rPr>
          <w:rFonts w:cs="Arial"/>
          <w:lang w:val="fr-FR"/>
        </w:rPr>
        <w:t>Agenda.</w:t>
      </w:r>
    </w:p>
    <w:p w:rsidR="00CD40E0" w:rsidRPr="00D865CA" w:rsidRDefault="00C214A5" w:rsidP="000F6A18">
      <w:pPr>
        <w:pStyle w:val="ListParagraph"/>
        <w:numPr>
          <w:ilvl w:val="1"/>
          <w:numId w:val="5"/>
        </w:numPr>
        <w:spacing w:after="0" w:line="240" w:lineRule="auto"/>
        <w:ind w:left="1843" w:hanging="425"/>
        <w:jc w:val="both"/>
        <w:rPr>
          <w:rFonts w:cs="Arial"/>
          <w:lang w:val="fr-FR"/>
        </w:rPr>
      </w:pPr>
      <w:r w:rsidRPr="00D865CA">
        <w:rPr>
          <w:rFonts w:cs="Arial"/>
          <w:lang w:val="fr-FR"/>
        </w:rPr>
        <w:t>Minutes.</w:t>
      </w:r>
    </w:p>
    <w:p w:rsidR="00CD40E0" w:rsidRPr="00D865CA" w:rsidRDefault="00D070CA" w:rsidP="000F6A18">
      <w:pPr>
        <w:pStyle w:val="ListParagraph"/>
        <w:numPr>
          <w:ilvl w:val="1"/>
          <w:numId w:val="5"/>
        </w:numPr>
        <w:spacing w:after="0" w:line="240" w:lineRule="auto"/>
        <w:ind w:left="1843" w:hanging="425"/>
        <w:jc w:val="both"/>
        <w:rPr>
          <w:rFonts w:cs="Arial"/>
          <w:lang w:val="fr-FR"/>
        </w:rPr>
      </w:pPr>
      <w:r w:rsidRPr="00D070CA">
        <w:rPr>
          <w:rFonts w:cs="Arial"/>
          <w:lang w:val="fr-FR"/>
        </w:rPr>
        <w:t>Liste des</w:t>
      </w:r>
      <w:r>
        <w:rPr>
          <w:rFonts w:cs="Arial"/>
          <w:b/>
          <w:lang w:val="fr-FR"/>
        </w:rPr>
        <w:t xml:space="preserve"> </w:t>
      </w:r>
      <w:r w:rsidR="00C214A5" w:rsidRPr="00D865CA">
        <w:rPr>
          <w:rFonts w:cs="Arial"/>
          <w:lang w:val="fr-FR"/>
        </w:rPr>
        <w:t>participants</w:t>
      </w:r>
      <w:r>
        <w:rPr>
          <w:rFonts w:cs="Arial"/>
          <w:lang w:val="fr-FR"/>
        </w:rPr>
        <w:t xml:space="preserve"> </w:t>
      </w:r>
      <w:r w:rsidRPr="00FE7490">
        <w:rPr>
          <w:rFonts w:cs="Arial"/>
          <w:b/>
          <w:u w:val="single"/>
          <w:lang w:val="fr-FR"/>
        </w:rPr>
        <w:t>signée</w:t>
      </w:r>
      <w:r>
        <w:rPr>
          <w:rFonts w:cs="Arial"/>
          <w:lang w:val="fr-FR"/>
        </w:rPr>
        <w:t xml:space="preserve"> par chaque participant</w:t>
      </w:r>
      <w:r w:rsidR="00C214A5" w:rsidRPr="00D865CA">
        <w:rPr>
          <w:rFonts w:cs="Arial"/>
          <w:lang w:val="fr-FR"/>
        </w:rPr>
        <w:t>.</w:t>
      </w:r>
    </w:p>
    <w:p w:rsidR="00CD40E0" w:rsidRPr="00D865CA" w:rsidRDefault="00C214A5" w:rsidP="000F6A18">
      <w:pPr>
        <w:pStyle w:val="ListParagraph"/>
        <w:numPr>
          <w:ilvl w:val="1"/>
          <w:numId w:val="5"/>
        </w:numPr>
        <w:spacing w:after="0" w:line="240" w:lineRule="auto"/>
        <w:ind w:left="1843" w:hanging="425"/>
        <w:jc w:val="both"/>
        <w:rPr>
          <w:rFonts w:cs="Arial"/>
          <w:lang w:val="fr-FR"/>
        </w:rPr>
      </w:pPr>
      <w:r w:rsidRPr="00D865CA">
        <w:rPr>
          <w:rFonts w:cs="Arial"/>
          <w:lang w:val="fr-FR"/>
        </w:rPr>
        <w:t>Pr</w:t>
      </w:r>
      <w:r w:rsidR="00F813AD">
        <w:rPr>
          <w:rFonts w:cs="Arial"/>
          <w:lang w:val="fr-FR"/>
        </w:rPr>
        <w:t>euve de séjour – facture d’</w:t>
      </w:r>
      <w:r w:rsidR="00935C92">
        <w:rPr>
          <w:rFonts w:cs="Arial"/>
          <w:lang w:val="fr-FR"/>
        </w:rPr>
        <w:t>hôtel</w:t>
      </w:r>
      <w:r w:rsidR="00F813AD">
        <w:rPr>
          <w:rFonts w:cs="Arial"/>
          <w:lang w:val="fr-FR"/>
        </w:rPr>
        <w:t xml:space="preserve">, liste de réservation, </w:t>
      </w:r>
      <w:r w:rsidRPr="00D865CA">
        <w:rPr>
          <w:rFonts w:cs="Arial"/>
          <w:lang w:val="fr-FR"/>
        </w:rPr>
        <w:t>list</w:t>
      </w:r>
      <w:r w:rsidR="00F813AD">
        <w:rPr>
          <w:rFonts w:cs="Arial"/>
          <w:lang w:val="fr-FR"/>
        </w:rPr>
        <w:t>e de participation signée</w:t>
      </w:r>
      <w:r w:rsidRPr="00D865CA">
        <w:rPr>
          <w:rFonts w:cs="Arial"/>
          <w:lang w:val="fr-FR"/>
        </w:rPr>
        <w:t>.</w:t>
      </w:r>
    </w:p>
    <w:p w:rsidR="00CD40E0" w:rsidRPr="00935C92" w:rsidRDefault="00935C92" w:rsidP="000F6A18">
      <w:pPr>
        <w:pStyle w:val="ListParagraph"/>
        <w:numPr>
          <w:ilvl w:val="1"/>
          <w:numId w:val="5"/>
        </w:numPr>
        <w:spacing w:after="0" w:line="240" w:lineRule="auto"/>
        <w:ind w:left="1843" w:hanging="425"/>
        <w:jc w:val="both"/>
        <w:rPr>
          <w:rFonts w:cs="Arial"/>
          <w:lang w:val="fr-FR"/>
        </w:rPr>
      </w:pPr>
      <w:r w:rsidRPr="00935C92">
        <w:rPr>
          <w:rFonts w:cs="Arial"/>
          <w:lang w:val="fr-FR"/>
        </w:rPr>
        <w:t xml:space="preserve">Factures des prestataires de services pour location de </w:t>
      </w:r>
      <w:r>
        <w:rPr>
          <w:rFonts w:cs="Arial"/>
          <w:lang w:val="fr-FR"/>
        </w:rPr>
        <w:t>salle, réception et frais de bouche.</w:t>
      </w:r>
    </w:p>
    <w:p w:rsidR="00CD40E0" w:rsidRPr="00935C92" w:rsidRDefault="00CD40E0" w:rsidP="000F6A18">
      <w:pPr>
        <w:spacing w:after="0" w:line="240" w:lineRule="auto"/>
        <w:jc w:val="both"/>
        <w:rPr>
          <w:rFonts w:eastAsia="Calibri" w:cs="Arial"/>
          <w:color w:val="000000"/>
          <w:szCs w:val="20"/>
          <w:lang w:val="fr-FR"/>
        </w:rPr>
      </w:pPr>
    </w:p>
    <w:p w:rsidR="00CD40E0" w:rsidRPr="002E36E2" w:rsidRDefault="00C214A5" w:rsidP="000F6A18">
      <w:pPr>
        <w:spacing w:after="0" w:line="240" w:lineRule="auto"/>
        <w:ind w:left="567"/>
        <w:jc w:val="both"/>
        <w:rPr>
          <w:rFonts w:eastAsia="Calibri" w:cs="Arial"/>
          <w:color w:val="000000"/>
          <w:szCs w:val="20"/>
          <w:u w:val="single"/>
          <w:lang w:val="fr-FR"/>
        </w:rPr>
      </w:pPr>
      <w:r w:rsidRPr="002F64AF">
        <w:rPr>
          <w:rFonts w:eastAsia="Calibri" w:cs="Arial"/>
          <w:color w:val="000000"/>
          <w:szCs w:val="20"/>
          <w:highlight w:val="green"/>
          <w:lang w:val="fr-FR"/>
        </w:rPr>
        <w:t>*</w:t>
      </w:r>
      <w:r w:rsidRPr="00863A6A">
        <w:rPr>
          <w:rFonts w:eastAsia="Calibri" w:cs="Arial"/>
          <w:color w:val="000000"/>
          <w:szCs w:val="20"/>
          <w:lang w:val="fr-FR"/>
        </w:rPr>
        <w:t xml:space="preserve"> </w:t>
      </w:r>
      <w:r w:rsidR="005E1EC6" w:rsidRPr="000F6A18">
        <w:rPr>
          <w:rFonts w:eastAsia="Calibri" w:cs="Arial"/>
          <w:color w:val="000000"/>
          <w:szCs w:val="20"/>
          <w:lang w:val="fr-FR"/>
        </w:rPr>
        <w:t xml:space="preserve">Confirmation </w:t>
      </w:r>
      <w:r w:rsidR="0032145D" w:rsidRPr="000F6A18">
        <w:rPr>
          <w:rFonts w:eastAsia="Calibri" w:cs="Arial"/>
          <w:color w:val="000000"/>
          <w:szCs w:val="20"/>
          <w:lang w:val="fr-FR"/>
        </w:rPr>
        <w:t>de règlement</w:t>
      </w:r>
      <w:r w:rsidR="005E1EC6" w:rsidRPr="000F6A18">
        <w:rPr>
          <w:rFonts w:eastAsia="Calibri" w:cs="Arial"/>
          <w:color w:val="000000"/>
          <w:szCs w:val="20"/>
          <w:lang w:val="fr-FR"/>
        </w:rPr>
        <w:t xml:space="preserve"> </w:t>
      </w:r>
      <w:r w:rsidR="002F64AF" w:rsidRPr="000F6A18">
        <w:rPr>
          <w:rFonts w:eastAsia="Calibri" w:cs="Arial"/>
          <w:color w:val="000000"/>
          <w:szCs w:val="20"/>
          <w:lang w:val="fr-FR"/>
        </w:rPr>
        <w:t xml:space="preserve">est une confirmation de </w:t>
      </w:r>
      <w:r w:rsidR="00624C6D" w:rsidRPr="000F6A18">
        <w:rPr>
          <w:rFonts w:eastAsia="Calibri" w:cs="Arial"/>
          <w:color w:val="000000"/>
          <w:szCs w:val="20"/>
          <w:lang w:val="fr-FR"/>
        </w:rPr>
        <w:t>réception d</w:t>
      </w:r>
      <w:r w:rsidR="002F64AF" w:rsidRPr="000F6A18">
        <w:rPr>
          <w:rFonts w:eastAsia="Calibri" w:cs="Arial"/>
          <w:color w:val="000000"/>
          <w:szCs w:val="20"/>
          <w:lang w:val="fr-FR"/>
        </w:rPr>
        <w:t xml:space="preserve">e paiement par le </w:t>
      </w:r>
      <w:r w:rsidR="004A65D4" w:rsidRPr="000F6A18">
        <w:rPr>
          <w:rFonts w:eastAsia="Calibri" w:cs="Arial"/>
          <w:color w:val="000000"/>
          <w:szCs w:val="20"/>
          <w:lang w:val="fr-FR"/>
        </w:rPr>
        <w:t>bénéficiaire</w:t>
      </w:r>
      <w:r w:rsidRPr="000F6A18">
        <w:rPr>
          <w:rFonts w:eastAsia="Calibri" w:cs="Arial"/>
          <w:color w:val="000000"/>
          <w:szCs w:val="20"/>
          <w:lang w:val="fr-FR"/>
        </w:rPr>
        <w:t>.</w:t>
      </w:r>
      <w:r w:rsidR="002F64AF" w:rsidRPr="000F6A18">
        <w:rPr>
          <w:rFonts w:eastAsia="Calibri" w:cs="Arial"/>
          <w:color w:val="000000"/>
          <w:szCs w:val="20"/>
          <w:lang w:val="fr-FR"/>
        </w:rPr>
        <w:t xml:space="preserve"> C’est une confirmation signée du montant payé et </w:t>
      </w:r>
      <w:r w:rsidR="00624C6D" w:rsidRPr="000F6A18">
        <w:rPr>
          <w:rFonts w:eastAsia="Calibri" w:cs="Arial"/>
          <w:color w:val="000000"/>
          <w:szCs w:val="20"/>
          <w:lang w:val="fr-FR"/>
        </w:rPr>
        <w:t xml:space="preserve">doit </w:t>
      </w:r>
      <w:r w:rsidR="002F64AF" w:rsidRPr="000F6A18">
        <w:rPr>
          <w:rFonts w:eastAsia="Calibri" w:cs="Arial"/>
          <w:color w:val="000000"/>
          <w:szCs w:val="20"/>
          <w:lang w:val="fr-FR"/>
        </w:rPr>
        <w:t xml:space="preserve">avoir un lien clair démontrant que la signature est </w:t>
      </w:r>
      <w:r w:rsidR="00624C6D" w:rsidRPr="000F6A18">
        <w:rPr>
          <w:rFonts w:eastAsia="Calibri" w:cs="Arial"/>
          <w:color w:val="000000"/>
          <w:szCs w:val="20"/>
          <w:lang w:val="fr-FR"/>
        </w:rPr>
        <w:t xml:space="preserve">bien </w:t>
      </w:r>
      <w:r w:rsidR="002F64AF" w:rsidRPr="000F6A18">
        <w:rPr>
          <w:rFonts w:eastAsia="Calibri" w:cs="Arial"/>
          <w:color w:val="000000"/>
          <w:szCs w:val="20"/>
          <w:lang w:val="fr-FR"/>
        </w:rPr>
        <w:t xml:space="preserve">celle du  bénéficiaire </w:t>
      </w:r>
      <w:proofErr w:type="gramStart"/>
      <w:r w:rsidR="002F64AF" w:rsidRPr="000F6A18">
        <w:rPr>
          <w:rFonts w:eastAsia="Calibri" w:cs="Arial"/>
          <w:color w:val="000000"/>
          <w:szCs w:val="20"/>
          <w:lang w:val="fr-FR"/>
        </w:rPr>
        <w:t xml:space="preserve">( </w:t>
      </w:r>
      <w:proofErr w:type="spellStart"/>
      <w:r w:rsidR="002F64AF" w:rsidRPr="000F6A18">
        <w:rPr>
          <w:rFonts w:eastAsia="Calibri" w:cs="Arial"/>
          <w:color w:val="000000"/>
          <w:szCs w:val="20"/>
          <w:lang w:val="fr-FR"/>
        </w:rPr>
        <w:t>e.g</w:t>
      </w:r>
      <w:proofErr w:type="spellEnd"/>
      <w:proofErr w:type="gramEnd"/>
      <w:r w:rsidR="002F64AF" w:rsidRPr="000F6A18">
        <w:rPr>
          <w:rFonts w:eastAsia="Calibri" w:cs="Arial"/>
          <w:color w:val="000000"/>
          <w:szCs w:val="20"/>
          <w:lang w:val="fr-FR"/>
        </w:rPr>
        <w:t xml:space="preserve"> contractant</w:t>
      </w:r>
      <w:r w:rsidR="00A85E40" w:rsidRPr="000F6A18">
        <w:rPr>
          <w:rFonts w:eastAsia="Calibri" w:cs="Arial"/>
          <w:color w:val="000000"/>
          <w:szCs w:val="20"/>
          <w:lang w:val="fr-FR"/>
        </w:rPr>
        <w:t>)</w:t>
      </w:r>
      <w:r w:rsidR="002F64AF" w:rsidRPr="000F6A18">
        <w:rPr>
          <w:rFonts w:eastAsia="Calibri" w:cs="Arial"/>
          <w:color w:val="000000"/>
          <w:szCs w:val="20"/>
          <w:lang w:val="fr-FR"/>
        </w:rPr>
        <w:t>, la signature doit correspondre à celle du contrat, en cas de fournisseur la confirmation doit être sur papier en-tête</w:t>
      </w:r>
      <w:r w:rsidR="00AF6BA8" w:rsidRPr="000F6A18">
        <w:rPr>
          <w:rFonts w:eastAsia="Calibri" w:cs="Arial"/>
          <w:color w:val="000000"/>
          <w:szCs w:val="20"/>
          <w:lang w:val="fr-FR"/>
        </w:rPr>
        <w:t xml:space="preserve"> officiel</w:t>
      </w:r>
      <w:r w:rsidR="002F64AF" w:rsidRPr="000F6A18">
        <w:rPr>
          <w:rFonts w:eastAsia="Calibri" w:cs="Arial"/>
          <w:color w:val="000000"/>
          <w:szCs w:val="20"/>
          <w:lang w:val="fr-FR"/>
        </w:rPr>
        <w:t>)</w:t>
      </w:r>
      <w:r w:rsidRPr="000F6A18">
        <w:rPr>
          <w:rFonts w:eastAsia="Calibri" w:cs="Arial"/>
          <w:color w:val="000000"/>
          <w:szCs w:val="20"/>
          <w:lang w:val="fr-FR"/>
        </w:rPr>
        <w:t>.</w:t>
      </w:r>
      <w:r w:rsidR="000F6A18" w:rsidRPr="000F6A18">
        <w:rPr>
          <w:lang w:val="fr-FR"/>
        </w:rPr>
        <w:t xml:space="preserve"> </w:t>
      </w:r>
      <w:r w:rsidR="002E36E2" w:rsidRPr="002E36E2">
        <w:rPr>
          <w:u w:val="single"/>
          <w:lang w:val="fr-FR"/>
        </w:rPr>
        <w:t>Ce</w:t>
      </w:r>
      <w:r w:rsidR="002E36E2">
        <w:rPr>
          <w:u w:val="single"/>
          <w:lang w:val="fr-FR"/>
        </w:rPr>
        <w:t>tte conf</w:t>
      </w:r>
      <w:r w:rsidR="00A14C08">
        <w:rPr>
          <w:u w:val="single"/>
          <w:lang w:val="fr-FR"/>
        </w:rPr>
        <w:t>i</w:t>
      </w:r>
      <w:r w:rsidR="002E36E2">
        <w:rPr>
          <w:u w:val="single"/>
          <w:lang w:val="fr-FR"/>
        </w:rPr>
        <w:t>rmation</w:t>
      </w:r>
      <w:r w:rsidR="002E36E2" w:rsidRPr="002E36E2">
        <w:rPr>
          <w:u w:val="single"/>
          <w:lang w:val="fr-FR"/>
        </w:rPr>
        <w:t xml:space="preserve"> sera requis</w:t>
      </w:r>
      <w:r w:rsidR="002E36E2">
        <w:rPr>
          <w:u w:val="single"/>
          <w:lang w:val="fr-FR"/>
        </w:rPr>
        <w:t>e</w:t>
      </w:r>
      <w:r w:rsidR="002E36E2" w:rsidRPr="002E36E2">
        <w:rPr>
          <w:u w:val="single"/>
          <w:lang w:val="fr-FR"/>
        </w:rPr>
        <w:t xml:space="preserve"> seulement lorsque des relevés ban</w:t>
      </w:r>
      <w:r w:rsidR="00A14C08">
        <w:rPr>
          <w:u w:val="single"/>
          <w:lang w:val="fr-FR"/>
        </w:rPr>
        <w:t>caires</w:t>
      </w:r>
      <w:r w:rsidR="002E36E2" w:rsidRPr="002E36E2">
        <w:rPr>
          <w:u w:val="single"/>
          <w:lang w:val="fr-FR"/>
        </w:rPr>
        <w:t xml:space="preserve"> ne sont pas disponibles.</w:t>
      </w:r>
    </w:p>
    <w:p w:rsidR="00CD40E0" w:rsidRPr="00D865CA" w:rsidRDefault="0029498F">
      <w:pPr>
        <w:pStyle w:val="Heading1"/>
        <w:numPr>
          <w:ilvl w:val="0"/>
          <w:numId w:val="4"/>
        </w:numPr>
        <w:rPr>
          <w:lang w:val="fr-FR"/>
        </w:rPr>
      </w:pPr>
      <w:r>
        <w:rPr>
          <w:lang w:val="fr-FR"/>
        </w:rPr>
        <w:t>Tenue des comptes</w:t>
      </w:r>
    </w:p>
    <w:p w:rsidR="00CD40E0" w:rsidRPr="00676A4A" w:rsidRDefault="00676A4A">
      <w:pPr>
        <w:pStyle w:val="Default"/>
        <w:ind w:left="720"/>
        <w:jc w:val="both"/>
        <w:rPr>
          <w:rFonts w:asciiTheme="minorHAnsi" w:hAnsiTheme="minorHAnsi"/>
          <w:sz w:val="22"/>
          <w:szCs w:val="22"/>
          <w:lang w:val="fr-FR"/>
        </w:rPr>
      </w:pPr>
      <w:r w:rsidRPr="00676A4A">
        <w:rPr>
          <w:rFonts w:asciiTheme="minorHAnsi" w:hAnsiTheme="minorHAnsi"/>
          <w:sz w:val="22"/>
          <w:szCs w:val="22"/>
          <w:lang w:val="fr-FR"/>
        </w:rPr>
        <w:t>Tous documents et informations doi</w:t>
      </w:r>
      <w:r w:rsidR="00466A71">
        <w:rPr>
          <w:rFonts w:asciiTheme="minorHAnsi" w:hAnsiTheme="minorHAnsi"/>
          <w:sz w:val="22"/>
          <w:szCs w:val="22"/>
          <w:lang w:val="fr-FR"/>
        </w:rPr>
        <w:t>ven</w:t>
      </w:r>
      <w:r w:rsidRPr="00676A4A">
        <w:rPr>
          <w:rFonts w:asciiTheme="minorHAnsi" w:hAnsiTheme="minorHAnsi"/>
          <w:sz w:val="22"/>
          <w:szCs w:val="22"/>
          <w:lang w:val="fr-FR"/>
        </w:rPr>
        <w:t>t être gardé</w:t>
      </w:r>
      <w:r w:rsidR="00466A71">
        <w:rPr>
          <w:rFonts w:asciiTheme="minorHAnsi" w:hAnsiTheme="minorHAnsi"/>
          <w:sz w:val="22"/>
          <w:szCs w:val="22"/>
          <w:lang w:val="fr-FR"/>
        </w:rPr>
        <w:t>s</w:t>
      </w:r>
      <w:r w:rsidRPr="00676A4A">
        <w:rPr>
          <w:rFonts w:asciiTheme="minorHAnsi" w:hAnsiTheme="minorHAnsi"/>
          <w:sz w:val="22"/>
          <w:szCs w:val="22"/>
          <w:lang w:val="fr-FR"/>
        </w:rPr>
        <w:t xml:space="preserve"> </w:t>
      </w:r>
      <w:r w:rsidRPr="00FE7490">
        <w:rPr>
          <w:rFonts w:asciiTheme="minorHAnsi" w:hAnsiTheme="minorHAnsi"/>
          <w:b/>
          <w:sz w:val="22"/>
          <w:szCs w:val="22"/>
          <w:lang w:val="fr-FR"/>
        </w:rPr>
        <w:t>pendant 5 ans après le paiement du solde</w:t>
      </w:r>
      <w:r w:rsidR="00C214A5" w:rsidRPr="00676A4A">
        <w:rPr>
          <w:rFonts w:asciiTheme="minorHAnsi" w:hAnsiTheme="minorHAnsi"/>
          <w:sz w:val="22"/>
          <w:szCs w:val="22"/>
          <w:lang w:val="fr-FR"/>
        </w:rPr>
        <w:t>.</w:t>
      </w:r>
    </w:p>
    <w:p w:rsidR="00676A4A" w:rsidRDefault="00676A4A">
      <w:pPr>
        <w:pStyle w:val="Default"/>
        <w:ind w:left="720"/>
        <w:jc w:val="both"/>
        <w:rPr>
          <w:rFonts w:asciiTheme="minorHAnsi" w:hAnsiTheme="minorHAnsi"/>
          <w:b/>
          <w:sz w:val="22"/>
          <w:szCs w:val="22"/>
          <w:lang w:val="fr-FR"/>
        </w:rPr>
      </w:pPr>
    </w:p>
    <w:p w:rsidR="00CD40E0" w:rsidRPr="00466A71" w:rsidRDefault="00AE115A">
      <w:pPr>
        <w:pStyle w:val="Default"/>
        <w:ind w:left="720"/>
        <w:jc w:val="both"/>
        <w:rPr>
          <w:rFonts w:asciiTheme="minorHAnsi" w:hAnsiTheme="minorHAnsi"/>
          <w:sz w:val="22"/>
          <w:szCs w:val="22"/>
          <w:lang w:val="fr-FR"/>
        </w:rPr>
      </w:pPr>
      <w:r w:rsidRPr="00FE7490">
        <w:rPr>
          <w:rFonts w:asciiTheme="minorHAnsi" w:hAnsiTheme="minorHAnsi"/>
          <w:b/>
          <w:sz w:val="22"/>
          <w:szCs w:val="22"/>
          <w:u w:val="single"/>
          <w:lang w:val="fr-FR"/>
        </w:rPr>
        <w:t>Les documents originaux</w:t>
      </w:r>
      <w:r w:rsidR="00C214A5" w:rsidRPr="00466A71">
        <w:rPr>
          <w:rFonts w:asciiTheme="minorHAnsi" w:hAnsiTheme="minorHAnsi"/>
          <w:sz w:val="22"/>
          <w:szCs w:val="22"/>
          <w:lang w:val="fr-FR"/>
        </w:rPr>
        <w:t xml:space="preserve">, </w:t>
      </w:r>
      <w:r w:rsidRPr="00466A71">
        <w:rPr>
          <w:rFonts w:asciiTheme="minorHAnsi" w:hAnsiTheme="minorHAnsi"/>
          <w:sz w:val="22"/>
          <w:szCs w:val="22"/>
          <w:lang w:val="fr-FR"/>
        </w:rPr>
        <w:t>particulièrement les comptes et avis d’imposition</w:t>
      </w:r>
      <w:r w:rsidR="003B28D2" w:rsidRPr="00466A71">
        <w:rPr>
          <w:rFonts w:asciiTheme="minorHAnsi" w:hAnsiTheme="minorHAnsi"/>
          <w:sz w:val="22"/>
          <w:szCs w:val="22"/>
          <w:lang w:val="fr-FR"/>
        </w:rPr>
        <w:t xml:space="preserve">, devant être archivés sur tout support approprié y compris digital conformément à la </w:t>
      </w:r>
      <w:r w:rsidR="00466A71" w:rsidRPr="00466A71">
        <w:rPr>
          <w:rFonts w:asciiTheme="minorHAnsi" w:hAnsiTheme="minorHAnsi"/>
          <w:sz w:val="22"/>
          <w:szCs w:val="22"/>
          <w:lang w:val="fr-FR"/>
        </w:rPr>
        <w:t>législation</w:t>
      </w:r>
      <w:r w:rsidR="003B28D2" w:rsidRPr="00466A71">
        <w:rPr>
          <w:rFonts w:asciiTheme="minorHAnsi" w:hAnsiTheme="minorHAnsi"/>
          <w:sz w:val="22"/>
          <w:szCs w:val="22"/>
          <w:lang w:val="fr-FR"/>
        </w:rPr>
        <w:t xml:space="preserve"> en vigueur</w:t>
      </w:r>
      <w:r w:rsidR="00835D80">
        <w:rPr>
          <w:rFonts w:asciiTheme="minorHAnsi" w:hAnsiTheme="minorHAnsi"/>
          <w:sz w:val="22"/>
          <w:szCs w:val="22"/>
          <w:lang w:val="fr-FR"/>
        </w:rPr>
        <w:t>. Ils</w:t>
      </w:r>
      <w:r w:rsidR="003B28D2" w:rsidRPr="00466A71">
        <w:rPr>
          <w:rFonts w:asciiTheme="minorHAnsi" w:hAnsiTheme="minorHAnsi"/>
          <w:sz w:val="22"/>
          <w:szCs w:val="22"/>
          <w:lang w:val="fr-FR"/>
        </w:rPr>
        <w:t xml:space="preserve"> </w:t>
      </w:r>
      <w:r w:rsidR="00466A71" w:rsidRPr="00D157F9">
        <w:rPr>
          <w:rFonts w:asciiTheme="minorHAnsi" w:hAnsiTheme="minorHAnsi"/>
          <w:sz w:val="22"/>
          <w:szCs w:val="22"/>
          <w:lang w:val="fr-FR"/>
        </w:rPr>
        <w:t>doivent</w:t>
      </w:r>
      <w:r w:rsidR="003B28D2" w:rsidRPr="00D157F9">
        <w:rPr>
          <w:rFonts w:asciiTheme="minorHAnsi" w:hAnsiTheme="minorHAnsi"/>
          <w:sz w:val="22"/>
          <w:szCs w:val="22"/>
          <w:lang w:val="fr-FR"/>
        </w:rPr>
        <w:t xml:space="preserve"> </w:t>
      </w:r>
      <w:r w:rsidR="00466A71" w:rsidRPr="00D157F9">
        <w:rPr>
          <w:rFonts w:asciiTheme="minorHAnsi" w:hAnsiTheme="minorHAnsi"/>
          <w:sz w:val="22"/>
          <w:szCs w:val="22"/>
          <w:lang w:val="fr-FR"/>
        </w:rPr>
        <w:t xml:space="preserve">être </w:t>
      </w:r>
      <w:r w:rsidR="00466A71" w:rsidRPr="00D157F9">
        <w:rPr>
          <w:rFonts w:asciiTheme="minorHAnsi" w:hAnsiTheme="minorHAnsi"/>
          <w:b/>
          <w:sz w:val="22"/>
          <w:szCs w:val="22"/>
          <w:highlight w:val="green"/>
          <w:u w:val="single"/>
          <w:lang w:val="fr-FR"/>
        </w:rPr>
        <w:t>gardés pendant 5 ans</w:t>
      </w:r>
      <w:r w:rsidR="00466A71" w:rsidRPr="00D157F9">
        <w:rPr>
          <w:rFonts w:asciiTheme="minorHAnsi" w:hAnsiTheme="minorHAnsi"/>
          <w:b/>
          <w:sz w:val="22"/>
          <w:szCs w:val="22"/>
          <w:u w:val="single"/>
          <w:lang w:val="fr-FR"/>
        </w:rPr>
        <w:t xml:space="preserve"> </w:t>
      </w:r>
      <w:r w:rsidR="00665D92" w:rsidRPr="00D157F9">
        <w:rPr>
          <w:rFonts w:asciiTheme="minorHAnsi" w:hAnsiTheme="minorHAnsi"/>
          <w:b/>
          <w:sz w:val="22"/>
          <w:szCs w:val="22"/>
          <w:u w:val="single"/>
          <w:lang w:val="fr-FR"/>
        </w:rPr>
        <w:t>après</w:t>
      </w:r>
      <w:r w:rsidR="00466A71" w:rsidRPr="00D157F9">
        <w:rPr>
          <w:rFonts w:asciiTheme="minorHAnsi" w:hAnsiTheme="minorHAnsi"/>
          <w:b/>
          <w:sz w:val="22"/>
          <w:szCs w:val="22"/>
          <w:u w:val="single"/>
          <w:lang w:val="fr-FR"/>
        </w:rPr>
        <w:t xml:space="preserve"> la date du paiement du solde de la contribution de l’Union européenne</w:t>
      </w:r>
      <w:r w:rsidR="00466A71">
        <w:rPr>
          <w:rFonts w:asciiTheme="minorHAnsi" w:hAnsiTheme="minorHAnsi"/>
          <w:sz w:val="22"/>
          <w:szCs w:val="22"/>
          <w:lang w:val="fr-FR"/>
        </w:rPr>
        <w:t>.</w:t>
      </w:r>
    </w:p>
    <w:p w:rsidR="00CD40E0" w:rsidRPr="00466A71" w:rsidRDefault="00CD40E0">
      <w:pPr>
        <w:pStyle w:val="Default"/>
        <w:ind w:left="720"/>
        <w:jc w:val="both"/>
        <w:rPr>
          <w:rFonts w:asciiTheme="minorHAnsi" w:hAnsiTheme="minorHAnsi"/>
          <w:sz w:val="22"/>
          <w:szCs w:val="22"/>
          <w:lang w:val="fr-FR"/>
        </w:rPr>
      </w:pPr>
    </w:p>
    <w:p w:rsidR="00CD40E0" w:rsidRPr="00D865CA" w:rsidRDefault="0060152B">
      <w:pPr>
        <w:pStyle w:val="Default"/>
        <w:ind w:left="720"/>
        <w:jc w:val="both"/>
        <w:rPr>
          <w:rFonts w:asciiTheme="minorHAnsi" w:hAnsiTheme="minorHAnsi"/>
          <w:sz w:val="22"/>
          <w:szCs w:val="22"/>
          <w:lang w:val="fr-FR"/>
        </w:rPr>
      </w:pPr>
      <w:r>
        <w:rPr>
          <w:rFonts w:asciiTheme="minorHAnsi" w:hAnsiTheme="minorHAnsi"/>
          <w:sz w:val="22"/>
          <w:szCs w:val="22"/>
          <w:lang w:val="fr-FR"/>
        </w:rPr>
        <w:t>La liste ci-dessous n’est pas exhaustive</w:t>
      </w:r>
      <w:r w:rsidR="0076199D">
        <w:rPr>
          <w:rFonts w:asciiTheme="minorHAnsi" w:hAnsiTheme="minorHAnsi"/>
          <w:sz w:val="22"/>
          <w:szCs w:val="22"/>
          <w:lang w:val="fr-FR"/>
        </w:rPr>
        <w:t xml:space="preserve"> mais indicative des documents à garder</w:t>
      </w:r>
      <w:r w:rsidR="00C214A5" w:rsidRPr="00D865CA">
        <w:rPr>
          <w:rFonts w:asciiTheme="minorHAnsi" w:hAnsiTheme="minorHAnsi"/>
          <w:sz w:val="22"/>
          <w:szCs w:val="22"/>
          <w:lang w:val="fr-FR"/>
        </w:rPr>
        <w:t>.</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a) </w:t>
      </w:r>
      <w:r w:rsidRPr="00D865CA">
        <w:rPr>
          <w:rFonts w:asciiTheme="minorHAnsi" w:hAnsiTheme="minorHAnsi"/>
          <w:sz w:val="22"/>
          <w:szCs w:val="22"/>
          <w:lang w:val="fr-FR"/>
        </w:rPr>
        <w:tab/>
      </w:r>
      <w:r w:rsidR="00665D92">
        <w:rPr>
          <w:rFonts w:asciiTheme="minorHAnsi" w:hAnsiTheme="minorHAnsi"/>
          <w:sz w:val="22"/>
          <w:szCs w:val="22"/>
          <w:lang w:val="fr-FR"/>
        </w:rPr>
        <w:t xml:space="preserve">Documents de comptabilité </w:t>
      </w:r>
      <w:r w:rsidRPr="00D865CA">
        <w:rPr>
          <w:rFonts w:asciiTheme="minorHAnsi" w:hAnsiTheme="minorHAnsi"/>
          <w:sz w:val="22"/>
          <w:szCs w:val="22"/>
          <w:lang w:val="fr-FR"/>
        </w:rPr>
        <w:t>(</w:t>
      </w:r>
      <w:r w:rsidR="00665D92">
        <w:rPr>
          <w:rFonts w:asciiTheme="minorHAnsi" w:hAnsiTheme="minorHAnsi"/>
          <w:sz w:val="22"/>
          <w:szCs w:val="22"/>
          <w:lang w:val="fr-FR"/>
        </w:rPr>
        <w:t>informatisés ou écrits</w:t>
      </w:r>
      <w:r w:rsidRPr="00D865CA">
        <w:rPr>
          <w:rFonts w:asciiTheme="minorHAnsi" w:hAnsiTheme="minorHAnsi"/>
          <w:sz w:val="22"/>
          <w:szCs w:val="22"/>
          <w:lang w:val="fr-FR"/>
        </w:rPr>
        <w:t xml:space="preserve">) </w:t>
      </w:r>
      <w:r w:rsidR="00665D92">
        <w:rPr>
          <w:rFonts w:asciiTheme="minorHAnsi" w:hAnsiTheme="minorHAnsi"/>
          <w:sz w:val="22"/>
          <w:szCs w:val="22"/>
          <w:lang w:val="fr-FR"/>
        </w:rPr>
        <w:t>provenant du système de comptabilité du/des bé</w:t>
      </w:r>
      <w:r w:rsidRPr="00D865CA">
        <w:rPr>
          <w:rFonts w:asciiTheme="minorHAnsi" w:hAnsiTheme="minorHAnsi"/>
          <w:sz w:val="22"/>
          <w:szCs w:val="22"/>
          <w:lang w:val="fr-FR"/>
        </w:rPr>
        <w:t>n</w:t>
      </w:r>
      <w:r w:rsidR="00665D92">
        <w:rPr>
          <w:rFonts w:asciiTheme="minorHAnsi" w:hAnsiTheme="minorHAnsi"/>
          <w:sz w:val="22"/>
          <w:szCs w:val="22"/>
          <w:lang w:val="fr-FR"/>
        </w:rPr>
        <w:t>é</w:t>
      </w:r>
      <w:r w:rsidRPr="00D865CA">
        <w:rPr>
          <w:rFonts w:asciiTheme="minorHAnsi" w:hAnsiTheme="minorHAnsi"/>
          <w:sz w:val="22"/>
          <w:szCs w:val="22"/>
          <w:lang w:val="fr-FR"/>
        </w:rPr>
        <w:t>ficia</w:t>
      </w:r>
      <w:r w:rsidR="00665D92">
        <w:rPr>
          <w:rFonts w:asciiTheme="minorHAnsi" w:hAnsiTheme="minorHAnsi"/>
          <w:sz w:val="22"/>
          <w:szCs w:val="22"/>
          <w:lang w:val="fr-FR"/>
        </w:rPr>
        <w:t xml:space="preserve">ire(s) tels que </w:t>
      </w:r>
      <w:r w:rsidR="00835D80">
        <w:rPr>
          <w:rFonts w:asciiTheme="minorHAnsi" w:hAnsiTheme="minorHAnsi"/>
          <w:sz w:val="22"/>
          <w:szCs w:val="22"/>
          <w:lang w:val="fr-FR"/>
        </w:rPr>
        <w:t xml:space="preserve">le grand livre des comptes, </w:t>
      </w:r>
      <w:r w:rsidR="004A65D4">
        <w:rPr>
          <w:rFonts w:asciiTheme="minorHAnsi" w:hAnsiTheme="minorHAnsi"/>
          <w:sz w:val="22"/>
          <w:szCs w:val="22"/>
          <w:lang w:val="fr-FR"/>
        </w:rPr>
        <w:t>les comptes individuels</w:t>
      </w:r>
      <w:r w:rsidR="00835D80">
        <w:rPr>
          <w:rFonts w:asciiTheme="minorHAnsi" w:hAnsiTheme="minorHAnsi"/>
          <w:sz w:val="22"/>
          <w:szCs w:val="22"/>
          <w:lang w:val="fr-FR"/>
        </w:rPr>
        <w:t xml:space="preserve"> et comptes de rémunération, inventaires des immobilisations </w:t>
      </w:r>
      <w:r w:rsidR="00665D92">
        <w:rPr>
          <w:rFonts w:asciiTheme="minorHAnsi" w:hAnsiTheme="minorHAnsi"/>
          <w:sz w:val="22"/>
          <w:szCs w:val="22"/>
          <w:lang w:val="fr-FR"/>
        </w:rPr>
        <w:t>et toute autre information comptable pertinente</w:t>
      </w:r>
      <w:r w:rsidRPr="00D865CA">
        <w:rPr>
          <w:rFonts w:asciiTheme="minorHAnsi" w:hAnsiTheme="minorHAnsi"/>
          <w:sz w:val="22"/>
          <w:szCs w:val="22"/>
          <w:lang w:val="fr-FR"/>
        </w:rPr>
        <w:t xml:space="preserve">;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b) </w:t>
      </w:r>
      <w:r w:rsidRPr="00D865CA">
        <w:rPr>
          <w:rFonts w:asciiTheme="minorHAnsi" w:hAnsiTheme="minorHAnsi"/>
          <w:sz w:val="22"/>
          <w:szCs w:val="22"/>
          <w:lang w:val="fr-FR"/>
        </w:rPr>
        <w:tab/>
      </w:r>
      <w:r w:rsidR="00665D92">
        <w:rPr>
          <w:rFonts w:asciiTheme="minorHAnsi" w:hAnsiTheme="minorHAnsi"/>
          <w:sz w:val="22"/>
          <w:szCs w:val="22"/>
          <w:lang w:val="fr-FR"/>
        </w:rPr>
        <w:t>Documents de passation de marché tels que marché</w:t>
      </w:r>
      <w:r w:rsidR="00835D80">
        <w:rPr>
          <w:rFonts w:asciiTheme="minorHAnsi" w:hAnsiTheme="minorHAnsi"/>
          <w:sz w:val="22"/>
          <w:szCs w:val="22"/>
          <w:lang w:val="fr-FR"/>
        </w:rPr>
        <w:t>s</w:t>
      </w:r>
      <w:r w:rsidR="00665D92">
        <w:rPr>
          <w:rFonts w:asciiTheme="minorHAnsi" w:hAnsiTheme="minorHAnsi"/>
          <w:sz w:val="22"/>
          <w:szCs w:val="22"/>
          <w:lang w:val="fr-FR"/>
        </w:rPr>
        <w:t xml:space="preserve"> public</w:t>
      </w:r>
      <w:r w:rsidR="00835D80">
        <w:rPr>
          <w:rFonts w:asciiTheme="minorHAnsi" w:hAnsiTheme="minorHAnsi"/>
          <w:sz w:val="22"/>
          <w:szCs w:val="22"/>
          <w:lang w:val="fr-FR"/>
        </w:rPr>
        <w:t>s</w:t>
      </w:r>
      <w:r w:rsidR="00665D92">
        <w:rPr>
          <w:rFonts w:asciiTheme="minorHAnsi" w:hAnsiTheme="minorHAnsi"/>
          <w:sz w:val="22"/>
          <w:szCs w:val="22"/>
          <w:lang w:val="fr-FR"/>
        </w:rPr>
        <w:t>, offres des soumission</w:t>
      </w:r>
      <w:r w:rsidR="007C4B1E">
        <w:rPr>
          <w:rFonts w:asciiTheme="minorHAnsi" w:hAnsiTheme="minorHAnsi"/>
          <w:sz w:val="22"/>
          <w:szCs w:val="22"/>
          <w:lang w:val="fr-FR"/>
        </w:rPr>
        <w:t>n</w:t>
      </w:r>
      <w:r w:rsidR="00665D92">
        <w:rPr>
          <w:rFonts w:asciiTheme="minorHAnsi" w:hAnsiTheme="minorHAnsi"/>
          <w:sz w:val="22"/>
          <w:szCs w:val="22"/>
          <w:lang w:val="fr-FR"/>
        </w:rPr>
        <w:t>aires et rapports d’évaluation</w:t>
      </w:r>
      <w:r w:rsidRPr="00D865CA">
        <w:rPr>
          <w:rFonts w:asciiTheme="minorHAnsi" w:hAnsiTheme="minorHAnsi"/>
          <w:sz w:val="22"/>
          <w:szCs w:val="22"/>
          <w:lang w:val="fr-FR"/>
        </w:rPr>
        <w:t>;</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c) </w:t>
      </w:r>
      <w:r w:rsidRPr="00D865CA">
        <w:rPr>
          <w:rFonts w:asciiTheme="minorHAnsi" w:hAnsiTheme="minorHAnsi"/>
          <w:sz w:val="22"/>
          <w:szCs w:val="22"/>
          <w:lang w:val="fr-FR"/>
        </w:rPr>
        <w:tab/>
      </w:r>
      <w:r w:rsidR="00665D92">
        <w:rPr>
          <w:rFonts w:asciiTheme="minorHAnsi" w:hAnsiTheme="minorHAnsi"/>
          <w:sz w:val="22"/>
          <w:szCs w:val="22"/>
          <w:lang w:val="fr-FR"/>
        </w:rPr>
        <w:t>Preuve d’engagement tels que contrats et ordres</w:t>
      </w:r>
      <w:r w:rsidRPr="00D865CA">
        <w:rPr>
          <w:rFonts w:asciiTheme="minorHAnsi" w:hAnsiTheme="minorHAnsi"/>
          <w:sz w:val="22"/>
          <w:szCs w:val="22"/>
          <w:lang w:val="fr-FR"/>
        </w:rPr>
        <w:t xml:space="preserve">;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d) </w:t>
      </w:r>
      <w:r w:rsidRPr="00D865CA">
        <w:rPr>
          <w:rFonts w:asciiTheme="minorHAnsi" w:hAnsiTheme="minorHAnsi"/>
          <w:sz w:val="22"/>
          <w:szCs w:val="22"/>
          <w:lang w:val="fr-FR"/>
        </w:rPr>
        <w:tab/>
        <w:t>Pr</w:t>
      </w:r>
      <w:r w:rsidR="007C4B1E">
        <w:rPr>
          <w:rFonts w:asciiTheme="minorHAnsi" w:hAnsiTheme="minorHAnsi"/>
          <w:sz w:val="22"/>
          <w:szCs w:val="22"/>
          <w:lang w:val="fr-FR"/>
        </w:rPr>
        <w:t>euve de service fait telle que rapport approuvé</w:t>
      </w:r>
      <w:r w:rsidRPr="00D865CA">
        <w:rPr>
          <w:rFonts w:asciiTheme="minorHAnsi" w:hAnsiTheme="minorHAnsi"/>
          <w:sz w:val="22"/>
          <w:szCs w:val="22"/>
          <w:lang w:val="fr-FR"/>
        </w:rPr>
        <w:t xml:space="preserve">, </w:t>
      </w:r>
      <w:r w:rsidR="007C4B1E">
        <w:rPr>
          <w:rFonts w:asciiTheme="minorHAnsi" w:hAnsiTheme="minorHAnsi"/>
          <w:sz w:val="22"/>
          <w:szCs w:val="22"/>
          <w:lang w:val="fr-FR"/>
        </w:rPr>
        <w:t xml:space="preserve">feuille de temps, ticket de transport, présence à un séminaire, conférence et cours d’apprentissage (y compris </w:t>
      </w:r>
      <w:r w:rsidRPr="00D865CA">
        <w:rPr>
          <w:rFonts w:asciiTheme="minorHAnsi" w:hAnsiTheme="minorHAnsi"/>
          <w:sz w:val="22"/>
          <w:szCs w:val="22"/>
          <w:lang w:val="fr-FR"/>
        </w:rPr>
        <w:t xml:space="preserve">documentation </w:t>
      </w:r>
      <w:r w:rsidR="007C4B1E">
        <w:rPr>
          <w:rFonts w:asciiTheme="minorHAnsi" w:hAnsiTheme="minorHAnsi"/>
          <w:sz w:val="22"/>
          <w:szCs w:val="22"/>
          <w:lang w:val="fr-FR"/>
        </w:rPr>
        <w:t xml:space="preserve">et matériels obtenus et certificats) </w:t>
      </w:r>
      <w:r w:rsidRPr="00D865CA">
        <w:rPr>
          <w:rFonts w:asciiTheme="minorHAnsi" w:hAnsiTheme="minorHAnsi"/>
          <w:sz w:val="22"/>
          <w:szCs w:val="22"/>
          <w:lang w:val="fr-FR"/>
        </w:rPr>
        <w:t xml:space="preserve">etc.;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e) </w:t>
      </w:r>
      <w:r w:rsidRPr="00D865CA">
        <w:rPr>
          <w:rFonts w:asciiTheme="minorHAnsi" w:hAnsiTheme="minorHAnsi"/>
          <w:sz w:val="22"/>
          <w:szCs w:val="22"/>
          <w:lang w:val="fr-FR"/>
        </w:rPr>
        <w:tab/>
        <w:t>Pr</w:t>
      </w:r>
      <w:r w:rsidR="007C4B1E">
        <w:rPr>
          <w:rFonts w:asciiTheme="minorHAnsi" w:hAnsiTheme="minorHAnsi"/>
          <w:sz w:val="22"/>
          <w:szCs w:val="22"/>
          <w:lang w:val="fr-FR"/>
        </w:rPr>
        <w:t>euve de livraison de biens telle que bons de livraison de la part du fournisseur ;</w:t>
      </w:r>
      <w:r w:rsidRPr="00D865CA">
        <w:rPr>
          <w:rFonts w:asciiTheme="minorHAnsi" w:hAnsiTheme="minorHAnsi"/>
          <w:sz w:val="22"/>
          <w:szCs w:val="22"/>
          <w:lang w:val="fr-FR"/>
        </w:rPr>
        <w:t xml:space="preserve">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f)</w:t>
      </w:r>
      <w:r w:rsidRPr="00D865CA">
        <w:rPr>
          <w:rFonts w:asciiTheme="minorHAnsi" w:hAnsiTheme="minorHAnsi"/>
          <w:sz w:val="22"/>
          <w:szCs w:val="22"/>
          <w:lang w:val="fr-FR"/>
        </w:rPr>
        <w:tab/>
        <w:t>Pr</w:t>
      </w:r>
      <w:r w:rsidR="007C4B1E">
        <w:rPr>
          <w:rFonts w:asciiTheme="minorHAnsi" w:hAnsiTheme="minorHAnsi"/>
          <w:sz w:val="22"/>
          <w:szCs w:val="22"/>
          <w:lang w:val="fr-FR"/>
        </w:rPr>
        <w:t>euve d’exécution de travaux</w:t>
      </w:r>
      <w:r w:rsidRPr="00D865CA">
        <w:rPr>
          <w:rFonts w:asciiTheme="minorHAnsi" w:hAnsiTheme="minorHAnsi"/>
          <w:sz w:val="22"/>
          <w:szCs w:val="22"/>
          <w:lang w:val="fr-FR"/>
        </w:rPr>
        <w:t xml:space="preserve">, </w:t>
      </w:r>
      <w:r w:rsidR="007C4B1E">
        <w:rPr>
          <w:rFonts w:asciiTheme="minorHAnsi" w:hAnsiTheme="minorHAnsi"/>
          <w:sz w:val="22"/>
          <w:szCs w:val="22"/>
          <w:lang w:val="fr-FR"/>
        </w:rPr>
        <w:t xml:space="preserve"> telle que certificat de réception et d’acceptation ;</w:t>
      </w:r>
      <w:r w:rsidRPr="00D865CA">
        <w:rPr>
          <w:rFonts w:asciiTheme="minorHAnsi" w:hAnsiTheme="minorHAnsi"/>
          <w:sz w:val="22"/>
          <w:szCs w:val="22"/>
          <w:lang w:val="fr-FR"/>
        </w:rPr>
        <w:t xml:space="preserve">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g) </w:t>
      </w:r>
      <w:r w:rsidRPr="00D865CA">
        <w:rPr>
          <w:rFonts w:asciiTheme="minorHAnsi" w:hAnsiTheme="minorHAnsi"/>
          <w:sz w:val="22"/>
          <w:szCs w:val="22"/>
          <w:lang w:val="fr-FR"/>
        </w:rPr>
        <w:tab/>
        <w:t>Pr</w:t>
      </w:r>
      <w:r w:rsidR="00401087">
        <w:rPr>
          <w:rFonts w:asciiTheme="minorHAnsi" w:hAnsiTheme="minorHAnsi"/>
          <w:sz w:val="22"/>
          <w:szCs w:val="22"/>
          <w:lang w:val="fr-FR"/>
        </w:rPr>
        <w:t>euve d’achats telle que factures et reçus ;</w:t>
      </w:r>
      <w:r w:rsidRPr="00D865CA">
        <w:rPr>
          <w:rFonts w:asciiTheme="minorHAnsi" w:hAnsiTheme="minorHAnsi"/>
          <w:sz w:val="22"/>
          <w:szCs w:val="22"/>
          <w:lang w:val="fr-FR"/>
        </w:rPr>
        <w:t xml:space="preserve">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h) </w:t>
      </w:r>
      <w:r w:rsidRPr="00D865CA">
        <w:rPr>
          <w:rFonts w:asciiTheme="minorHAnsi" w:hAnsiTheme="minorHAnsi"/>
          <w:sz w:val="22"/>
          <w:szCs w:val="22"/>
          <w:lang w:val="fr-FR"/>
        </w:rPr>
        <w:tab/>
        <w:t>Pr</w:t>
      </w:r>
      <w:r w:rsidR="00401087">
        <w:rPr>
          <w:rFonts w:asciiTheme="minorHAnsi" w:hAnsiTheme="minorHAnsi"/>
          <w:sz w:val="22"/>
          <w:szCs w:val="22"/>
          <w:lang w:val="fr-FR"/>
        </w:rPr>
        <w:t>euve de paiement tels que relevés de banque</w:t>
      </w:r>
      <w:r w:rsidRPr="00D865CA">
        <w:rPr>
          <w:rFonts w:asciiTheme="minorHAnsi" w:hAnsiTheme="minorHAnsi"/>
          <w:sz w:val="22"/>
          <w:szCs w:val="22"/>
          <w:lang w:val="fr-FR"/>
        </w:rPr>
        <w:t xml:space="preserve">, </w:t>
      </w:r>
      <w:r w:rsidR="00401087">
        <w:rPr>
          <w:rFonts w:asciiTheme="minorHAnsi" w:hAnsiTheme="minorHAnsi"/>
          <w:sz w:val="22"/>
          <w:szCs w:val="22"/>
          <w:lang w:val="fr-FR"/>
        </w:rPr>
        <w:t>notification de déb</w:t>
      </w:r>
      <w:r w:rsidR="00FE7490">
        <w:rPr>
          <w:rFonts w:asciiTheme="minorHAnsi" w:hAnsiTheme="minorHAnsi"/>
          <w:sz w:val="22"/>
          <w:szCs w:val="22"/>
          <w:lang w:val="fr-FR"/>
        </w:rPr>
        <w:t>it notices,</w:t>
      </w:r>
      <w:r w:rsidRPr="00D865CA">
        <w:rPr>
          <w:rFonts w:asciiTheme="minorHAnsi" w:hAnsiTheme="minorHAnsi"/>
          <w:sz w:val="22"/>
          <w:szCs w:val="22"/>
          <w:lang w:val="fr-FR"/>
        </w:rPr>
        <w:t xml:space="preserve"> </w:t>
      </w:r>
      <w:r w:rsidR="00835D80">
        <w:rPr>
          <w:rFonts w:asciiTheme="minorHAnsi" w:hAnsiTheme="minorHAnsi"/>
          <w:sz w:val="22"/>
          <w:szCs w:val="22"/>
          <w:lang w:val="fr-FR"/>
        </w:rPr>
        <w:t xml:space="preserve">confirmations de la </w:t>
      </w:r>
      <w:r w:rsidR="004A65D4">
        <w:rPr>
          <w:rFonts w:asciiTheme="minorHAnsi" w:hAnsiTheme="minorHAnsi"/>
          <w:sz w:val="22"/>
          <w:szCs w:val="22"/>
          <w:lang w:val="fr-FR"/>
        </w:rPr>
        <w:t>réception de paiements par les bénéficiaires</w:t>
      </w:r>
      <w:r w:rsidR="00835D80">
        <w:rPr>
          <w:rFonts w:asciiTheme="minorHAnsi" w:hAnsiTheme="minorHAnsi"/>
          <w:sz w:val="22"/>
          <w:szCs w:val="22"/>
          <w:lang w:val="fr-FR"/>
        </w:rPr>
        <w:t>;</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i) </w:t>
      </w:r>
      <w:r w:rsidRPr="00D865CA">
        <w:rPr>
          <w:rFonts w:asciiTheme="minorHAnsi" w:hAnsiTheme="minorHAnsi"/>
          <w:sz w:val="22"/>
          <w:szCs w:val="22"/>
          <w:lang w:val="fr-FR"/>
        </w:rPr>
        <w:tab/>
        <w:t>Pr</w:t>
      </w:r>
      <w:r w:rsidR="00401087">
        <w:rPr>
          <w:rFonts w:asciiTheme="minorHAnsi" w:hAnsiTheme="minorHAnsi"/>
          <w:sz w:val="22"/>
          <w:szCs w:val="22"/>
          <w:lang w:val="fr-FR"/>
        </w:rPr>
        <w:t xml:space="preserve">euve </w:t>
      </w:r>
      <w:r w:rsidR="00040994">
        <w:rPr>
          <w:rFonts w:asciiTheme="minorHAnsi" w:hAnsiTheme="minorHAnsi"/>
          <w:sz w:val="22"/>
          <w:szCs w:val="22"/>
          <w:lang w:val="fr-FR"/>
        </w:rPr>
        <w:t xml:space="preserve">que les </w:t>
      </w:r>
      <w:r w:rsidR="00401087">
        <w:rPr>
          <w:rFonts w:asciiTheme="minorHAnsi" w:hAnsiTheme="minorHAnsi"/>
          <w:sz w:val="22"/>
          <w:szCs w:val="22"/>
          <w:lang w:val="fr-FR"/>
        </w:rPr>
        <w:t>imposition</w:t>
      </w:r>
      <w:r w:rsidR="00040994">
        <w:rPr>
          <w:rFonts w:asciiTheme="minorHAnsi" w:hAnsiTheme="minorHAnsi"/>
          <w:sz w:val="22"/>
          <w:szCs w:val="22"/>
          <w:lang w:val="fr-FR"/>
        </w:rPr>
        <w:t>s</w:t>
      </w:r>
      <w:r w:rsidR="00401087">
        <w:rPr>
          <w:rFonts w:asciiTheme="minorHAnsi" w:hAnsiTheme="minorHAnsi"/>
          <w:sz w:val="22"/>
          <w:szCs w:val="22"/>
          <w:lang w:val="fr-FR"/>
        </w:rPr>
        <w:t xml:space="preserve"> et/ou TVA</w:t>
      </w:r>
      <w:r w:rsidR="00040994">
        <w:rPr>
          <w:rFonts w:asciiTheme="minorHAnsi" w:hAnsiTheme="minorHAnsi"/>
          <w:sz w:val="22"/>
          <w:szCs w:val="22"/>
          <w:lang w:val="fr-FR"/>
        </w:rPr>
        <w:t xml:space="preserve"> payées ne peuvent être récupérées</w:t>
      </w:r>
      <w:r w:rsidRPr="00D865CA">
        <w:rPr>
          <w:rFonts w:asciiTheme="minorHAnsi" w:hAnsiTheme="minorHAnsi"/>
          <w:sz w:val="22"/>
          <w:szCs w:val="22"/>
          <w:lang w:val="fr-FR"/>
        </w:rPr>
        <w:t xml:space="preserve">; </w:t>
      </w:r>
    </w:p>
    <w:p w:rsidR="00CD40E0" w:rsidRPr="00D865CA" w:rsidRDefault="00C214A5" w:rsidP="00FE7490">
      <w:pPr>
        <w:pStyle w:val="Default"/>
        <w:spacing w:before="120" w:after="120"/>
        <w:ind w:left="1559" w:hanging="425"/>
        <w:jc w:val="both"/>
        <w:rPr>
          <w:rFonts w:asciiTheme="minorHAnsi" w:hAnsiTheme="minorHAnsi"/>
          <w:sz w:val="22"/>
          <w:szCs w:val="22"/>
          <w:lang w:val="fr-FR"/>
        </w:rPr>
      </w:pPr>
      <w:r w:rsidRPr="00D865CA">
        <w:rPr>
          <w:rFonts w:asciiTheme="minorHAnsi" w:hAnsiTheme="minorHAnsi"/>
          <w:sz w:val="22"/>
          <w:szCs w:val="22"/>
          <w:lang w:val="fr-FR"/>
        </w:rPr>
        <w:t xml:space="preserve">j) </w:t>
      </w:r>
      <w:r w:rsidRPr="00D865CA">
        <w:rPr>
          <w:rFonts w:asciiTheme="minorHAnsi" w:hAnsiTheme="minorHAnsi"/>
          <w:sz w:val="22"/>
          <w:szCs w:val="22"/>
          <w:lang w:val="fr-FR"/>
        </w:rPr>
        <w:tab/>
      </w:r>
      <w:r w:rsidR="007C4B1E">
        <w:rPr>
          <w:rFonts w:asciiTheme="minorHAnsi" w:hAnsiTheme="minorHAnsi"/>
          <w:sz w:val="22"/>
          <w:szCs w:val="22"/>
          <w:lang w:val="fr-FR"/>
        </w:rPr>
        <w:t>Pour les frais de carburant,</w:t>
      </w:r>
      <w:r w:rsidR="00FE7490">
        <w:rPr>
          <w:rFonts w:asciiTheme="minorHAnsi" w:hAnsiTheme="minorHAnsi"/>
          <w:sz w:val="22"/>
          <w:szCs w:val="22"/>
          <w:lang w:val="fr-FR"/>
        </w:rPr>
        <w:t xml:space="preserve"> un </w:t>
      </w:r>
      <w:r w:rsidR="00FE7490" w:rsidRPr="00FE7490">
        <w:rPr>
          <w:rFonts w:asciiTheme="minorHAnsi" w:hAnsiTheme="minorHAnsi"/>
          <w:sz w:val="22"/>
          <w:szCs w:val="22"/>
          <w:lang w:val="fr-FR"/>
        </w:rPr>
        <w:t>journal de bord avec les détails des trajets et consommation de carburant</w:t>
      </w:r>
      <w:r w:rsidR="00FE7490">
        <w:rPr>
          <w:rFonts w:asciiTheme="minorHAnsi" w:hAnsiTheme="minorHAnsi"/>
          <w:sz w:val="22"/>
          <w:szCs w:val="22"/>
          <w:lang w:val="fr-FR"/>
        </w:rPr>
        <w:t xml:space="preserve">, </w:t>
      </w:r>
      <w:r w:rsidR="007C4B1E">
        <w:rPr>
          <w:rFonts w:asciiTheme="minorHAnsi" w:hAnsiTheme="minorHAnsi"/>
          <w:sz w:val="22"/>
          <w:szCs w:val="22"/>
          <w:lang w:val="fr-FR"/>
        </w:rPr>
        <w:t xml:space="preserve">une liste des distances parcourues, de la </w:t>
      </w:r>
      <w:r w:rsidR="007C4B1E">
        <w:rPr>
          <w:rFonts w:asciiTheme="minorHAnsi" w:hAnsiTheme="minorHAnsi"/>
          <w:sz w:val="22"/>
          <w:szCs w:val="22"/>
          <w:lang w:val="fr-FR"/>
        </w:rPr>
        <w:lastRenderedPageBreak/>
        <w:t>consommation moyenne du véhicule utilisé, du prix du carburant et des frais de maintenance du véhicule ;</w:t>
      </w:r>
      <w:r w:rsidRPr="00D865CA">
        <w:rPr>
          <w:rFonts w:asciiTheme="minorHAnsi" w:hAnsiTheme="minorHAnsi"/>
          <w:sz w:val="22"/>
          <w:szCs w:val="22"/>
          <w:lang w:val="fr-FR"/>
        </w:rPr>
        <w:t xml:space="preserve"> </w:t>
      </w:r>
    </w:p>
    <w:p w:rsidR="00CD40E0" w:rsidRPr="00040994" w:rsidRDefault="00C214A5" w:rsidP="00FE7490">
      <w:pPr>
        <w:pStyle w:val="Default"/>
        <w:spacing w:before="120" w:after="120"/>
        <w:ind w:left="1559" w:hanging="425"/>
        <w:jc w:val="both"/>
        <w:rPr>
          <w:lang w:val="fr-FR"/>
        </w:rPr>
      </w:pPr>
      <w:r w:rsidRPr="00D865CA">
        <w:rPr>
          <w:rFonts w:asciiTheme="minorHAnsi" w:hAnsiTheme="minorHAnsi"/>
          <w:sz w:val="22"/>
          <w:szCs w:val="22"/>
          <w:lang w:val="fr-FR"/>
        </w:rPr>
        <w:t xml:space="preserve">k) </w:t>
      </w:r>
      <w:r w:rsidRPr="00D865CA">
        <w:rPr>
          <w:rFonts w:asciiTheme="minorHAnsi" w:hAnsiTheme="minorHAnsi"/>
          <w:sz w:val="22"/>
          <w:szCs w:val="22"/>
          <w:lang w:val="fr-FR"/>
        </w:rPr>
        <w:tab/>
      </w:r>
      <w:r w:rsidR="00040994">
        <w:rPr>
          <w:rFonts w:asciiTheme="minorHAnsi" w:hAnsiTheme="minorHAnsi"/>
          <w:sz w:val="22"/>
          <w:szCs w:val="22"/>
          <w:lang w:val="fr-FR"/>
        </w:rPr>
        <w:t xml:space="preserve">Pour les salaires, les contrats, les attestations de salaire et feuille de temps. </w:t>
      </w:r>
      <w:r w:rsidR="00040994" w:rsidRPr="00040994">
        <w:rPr>
          <w:rFonts w:asciiTheme="minorHAnsi" w:hAnsiTheme="minorHAnsi"/>
          <w:sz w:val="22"/>
          <w:szCs w:val="22"/>
          <w:lang w:val="fr-FR"/>
        </w:rPr>
        <w:t>Pour le personnel recruté temporairement, des informations relatives à la rémunération</w:t>
      </w:r>
      <w:r w:rsidR="00040994">
        <w:rPr>
          <w:rFonts w:asciiTheme="minorHAnsi" w:hAnsiTheme="minorHAnsi"/>
          <w:sz w:val="22"/>
          <w:szCs w:val="22"/>
          <w:lang w:val="fr-FR"/>
        </w:rPr>
        <w:t xml:space="preserve"> ventilée en salaire brut, charges sociales, assurances et salaire net sont nécessaires.</w:t>
      </w:r>
    </w:p>
    <w:sectPr w:rsidR="00CD40E0" w:rsidRPr="00040994">
      <w:footerReference w:type="default" r:id="rId13"/>
      <w:pgSz w:w="11906" w:h="16838"/>
      <w:pgMar w:top="1440" w:right="1440" w:bottom="1440" w:left="1418"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FE" w:rsidRDefault="008846FE">
      <w:pPr>
        <w:spacing w:after="0" w:line="240" w:lineRule="auto"/>
      </w:pPr>
      <w:r>
        <w:separator/>
      </w:r>
    </w:p>
  </w:endnote>
  <w:endnote w:type="continuationSeparator" w:id="0">
    <w:p w:rsidR="008846FE" w:rsidRDefault="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60994"/>
      <w:docPartObj>
        <w:docPartGallery w:val="Page Numbers (Bottom of Page)"/>
        <w:docPartUnique/>
      </w:docPartObj>
    </w:sdtPr>
    <w:sdtEndPr/>
    <w:sdtContent>
      <w:p w:rsidR="006222C0" w:rsidRDefault="006222C0">
        <w:pPr>
          <w:pStyle w:val="Footer"/>
          <w:jc w:val="right"/>
        </w:pPr>
        <w:r>
          <w:fldChar w:fldCharType="begin"/>
        </w:r>
        <w:r>
          <w:instrText>PAGE</w:instrText>
        </w:r>
        <w:r>
          <w:fldChar w:fldCharType="separate"/>
        </w:r>
        <w:r w:rsidR="00E4463F">
          <w:rPr>
            <w:noProof/>
          </w:rPr>
          <w:t>8</w:t>
        </w:r>
        <w:r>
          <w:fldChar w:fldCharType="end"/>
        </w:r>
      </w:p>
    </w:sdtContent>
  </w:sdt>
  <w:p w:rsidR="006222C0" w:rsidRDefault="0062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FE" w:rsidRDefault="008846FE">
      <w:pPr>
        <w:spacing w:after="0" w:line="240" w:lineRule="auto"/>
      </w:pPr>
      <w:r>
        <w:separator/>
      </w:r>
    </w:p>
  </w:footnote>
  <w:footnote w:type="continuationSeparator" w:id="0">
    <w:p w:rsidR="008846FE" w:rsidRDefault="00884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B75"/>
    <w:multiLevelType w:val="multilevel"/>
    <w:tmpl w:val="37AA0686"/>
    <w:lvl w:ilvl="0">
      <w:start w:val="1"/>
      <w:numFmt w:val="decimal"/>
      <w:lvlText w:val="%1."/>
      <w:lvlJc w:val="left"/>
      <w:pPr>
        <w:ind w:left="720" w:hanging="360"/>
      </w:pPr>
    </w:lvl>
    <w:lvl w:ilvl="1">
      <w:start w:val="1"/>
      <w:numFmt w:val="lowerLetter"/>
      <w:lvlText w:val="%2."/>
      <w:lvlJc w:val="left"/>
      <w:pPr>
        <w:ind w:left="1440" w:hanging="360"/>
      </w:pPr>
      <w:rPr>
        <w:b/>
        <w:lang w:val="fr-FR"/>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FD513D"/>
    <w:multiLevelType w:val="hybridMultilevel"/>
    <w:tmpl w:val="B6ECF896"/>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AF02C53"/>
    <w:multiLevelType w:val="multilevel"/>
    <w:tmpl w:val="70B0AE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0436293"/>
    <w:multiLevelType w:val="multilevel"/>
    <w:tmpl w:val="C0364EC2"/>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nsid w:val="20C97A06"/>
    <w:multiLevelType w:val="multilevel"/>
    <w:tmpl w:val="1EAAC7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3"/>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29176E"/>
    <w:multiLevelType w:val="hybridMultilevel"/>
    <w:tmpl w:val="062E7642"/>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6">
    <w:nsid w:val="42EE6D0B"/>
    <w:multiLevelType w:val="multilevel"/>
    <w:tmpl w:val="1046C3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4E50A7"/>
    <w:multiLevelType w:val="multilevel"/>
    <w:tmpl w:val="BC0EF848"/>
    <w:lvl w:ilvl="0">
      <w:start w:val="1"/>
      <w:numFmt w:val="bullet"/>
      <w:lvlText w:val=""/>
      <w:lvlJc w:val="left"/>
      <w:pPr>
        <w:ind w:left="2160" w:hanging="360"/>
      </w:pPr>
      <w:rPr>
        <w:rFonts w:ascii="Symbol" w:hAnsi="Symbol" w:cs="Symbol" w:hint="default"/>
        <w:sz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num w:numId="1">
    <w:abstractNumId w:val="4"/>
  </w:num>
  <w:num w:numId="2">
    <w:abstractNumId w:val="3"/>
  </w:num>
  <w:num w:numId="3">
    <w:abstractNumId w:val="7"/>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E0"/>
    <w:rsid w:val="000006BD"/>
    <w:rsid w:val="00040171"/>
    <w:rsid w:val="00040994"/>
    <w:rsid w:val="000A32BF"/>
    <w:rsid w:val="000D1F3A"/>
    <w:rsid w:val="000D6E1B"/>
    <w:rsid w:val="000F6A18"/>
    <w:rsid w:val="001C3E5A"/>
    <w:rsid w:val="001F62A5"/>
    <w:rsid w:val="00211E0C"/>
    <w:rsid w:val="0021226D"/>
    <w:rsid w:val="00216BEA"/>
    <w:rsid w:val="00255E45"/>
    <w:rsid w:val="0027077B"/>
    <w:rsid w:val="00282891"/>
    <w:rsid w:val="00290D0B"/>
    <w:rsid w:val="0029498F"/>
    <w:rsid w:val="002A68BF"/>
    <w:rsid w:val="002E36E2"/>
    <w:rsid w:val="002F38AA"/>
    <w:rsid w:val="002F64AF"/>
    <w:rsid w:val="0032145D"/>
    <w:rsid w:val="00332DA8"/>
    <w:rsid w:val="00341469"/>
    <w:rsid w:val="003568E3"/>
    <w:rsid w:val="0036594B"/>
    <w:rsid w:val="0039119F"/>
    <w:rsid w:val="00396065"/>
    <w:rsid w:val="003A0669"/>
    <w:rsid w:val="003B28D2"/>
    <w:rsid w:val="003B357C"/>
    <w:rsid w:val="003D35A3"/>
    <w:rsid w:val="003E6DDC"/>
    <w:rsid w:val="00401087"/>
    <w:rsid w:val="00422817"/>
    <w:rsid w:val="00424258"/>
    <w:rsid w:val="00436DDA"/>
    <w:rsid w:val="00466A71"/>
    <w:rsid w:val="004755CD"/>
    <w:rsid w:val="004A65D4"/>
    <w:rsid w:val="004B1796"/>
    <w:rsid w:val="004F6091"/>
    <w:rsid w:val="00502353"/>
    <w:rsid w:val="00507422"/>
    <w:rsid w:val="00516339"/>
    <w:rsid w:val="005423BB"/>
    <w:rsid w:val="00572A7C"/>
    <w:rsid w:val="0058153D"/>
    <w:rsid w:val="005943E1"/>
    <w:rsid w:val="005B41A0"/>
    <w:rsid w:val="005C4DAD"/>
    <w:rsid w:val="005D5994"/>
    <w:rsid w:val="005E1EC6"/>
    <w:rsid w:val="005E3B2B"/>
    <w:rsid w:val="0060152B"/>
    <w:rsid w:val="00615474"/>
    <w:rsid w:val="006222C0"/>
    <w:rsid w:val="00624C6D"/>
    <w:rsid w:val="006567B1"/>
    <w:rsid w:val="00665D92"/>
    <w:rsid w:val="00676A4A"/>
    <w:rsid w:val="00683DDB"/>
    <w:rsid w:val="00686A83"/>
    <w:rsid w:val="006B3614"/>
    <w:rsid w:val="00717B27"/>
    <w:rsid w:val="0072011B"/>
    <w:rsid w:val="00721710"/>
    <w:rsid w:val="0072184A"/>
    <w:rsid w:val="007554CC"/>
    <w:rsid w:val="007562BC"/>
    <w:rsid w:val="0076199D"/>
    <w:rsid w:val="00780CE9"/>
    <w:rsid w:val="007A3802"/>
    <w:rsid w:val="007A71DB"/>
    <w:rsid w:val="007B223C"/>
    <w:rsid w:val="007B5804"/>
    <w:rsid w:val="007C4B1E"/>
    <w:rsid w:val="007C6C63"/>
    <w:rsid w:val="007D1054"/>
    <w:rsid w:val="007F30CD"/>
    <w:rsid w:val="00823309"/>
    <w:rsid w:val="00835D80"/>
    <w:rsid w:val="00841DEA"/>
    <w:rsid w:val="00863A6A"/>
    <w:rsid w:val="008832CC"/>
    <w:rsid w:val="008846FE"/>
    <w:rsid w:val="00890CD9"/>
    <w:rsid w:val="008B2DBD"/>
    <w:rsid w:val="008D0C1E"/>
    <w:rsid w:val="008E11EE"/>
    <w:rsid w:val="008E5546"/>
    <w:rsid w:val="008E645D"/>
    <w:rsid w:val="008F5108"/>
    <w:rsid w:val="009010C8"/>
    <w:rsid w:val="0091321C"/>
    <w:rsid w:val="0093303A"/>
    <w:rsid w:val="00935C92"/>
    <w:rsid w:val="009901E4"/>
    <w:rsid w:val="009A7042"/>
    <w:rsid w:val="00A02925"/>
    <w:rsid w:val="00A14C08"/>
    <w:rsid w:val="00A5419B"/>
    <w:rsid w:val="00A67B1A"/>
    <w:rsid w:val="00A85052"/>
    <w:rsid w:val="00A85E40"/>
    <w:rsid w:val="00AB03F4"/>
    <w:rsid w:val="00AB1EAE"/>
    <w:rsid w:val="00AD6629"/>
    <w:rsid w:val="00AE0109"/>
    <w:rsid w:val="00AE115A"/>
    <w:rsid w:val="00AF29DB"/>
    <w:rsid w:val="00AF6BA8"/>
    <w:rsid w:val="00B93865"/>
    <w:rsid w:val="00B949F2"/>
    <w:rsid w:val="00BA6FD8"/>
    <w:rsid w:val="00BE6A9F"/>
    <w:rsid w:val="00BE79C6"/>
    <w:rsid w:val="00C214A5"/>
    <w:rsid w:val="00C26B96"/>
    <w:rsid w:val="00C42BB0"/>
    <w:rsid w:val="00C92C77"/>
    <w:rsid w:val="00CA4032"/>
    <w:rsid w:val="00CD40E0"/>
    <w:rsid w:val="00D070CA"/>
    <w:rsid w:val="00D157F9"/>
    <w:rsid w:val="00D2235C"/>
    <w:rsid w:val="00D2799E"/>
    <w:rsid w:val="00D33E71"/>
    <w:rsid w:val="00D36B6E"/>
    <w:rsid w:val="00D44AA7"/>
    <w:rsid w:val="00D50517"/>
    <w:rsid w:val="00D57D10"/>
    <w:rsid w:val="00D80811"/>
    <w:rsid w:val="00D865CA"/>
    <w:rsid w:val="00DB2624"/>
    <w:rsid w:val="00DC045D"/>
    <w:rsid w:val="00DE2D0A"/>
    <w:rsid w:val="00DE3FB1"/>
    <w:rsid w:val="00E014F3"/>
    <w:rsid w:val="00E1066F"/>
    <w:rsid w:val="00E4463F"/>
    <w:rsid w:val="00E554C9"/>
    <w:rsid w:val="00E65312"/>
    <w:rsid w:val="00E72295"/>
    <w:rsid w:val="00E73038"/>
    <w:rsid w:val="00E852DB"/>
    <w:rsid w:val="00E912FD"/>
    <w:rsid w:val="00ED065B"/>
    <w:rsid w:val="00ED1AFC"/>
    <w:rsid w:val="00EF2065"/>
    <w:rsid w:val="00F009DA"/>
    <w:rsid w:val="00F0370F"/>
    <w:rsid w:val="00F16733"/>
    <w:rsid w:val="00F225D7"/>
    <w:rsid w:val="00F263C4"/>
    <w:rsid w:val="00F56F68"/>
    <w:rsid w:val="00F711DB"/>
    <w:rsid w:val="00F813AD"/>
    <w:rsid w:val="00FE74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link w:val="Heading1Char"/>
    <w:uiPriority w:val="9"/>
    <w:qFormat/>
    <w:rsid w:val="000A3C7E"/>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572C1"/>
    <w:rPr>
      <w:sz w:val="16"/>
      <w:szCs w:val="16"/>
    </w:rPr>
  </w:style>
  <w:style w:type="character" w:customStyle="1" w:styleId="CommentTextChar">
    <w:name w:val="Comment Text Char"/>
    <w:basedOn w:val="DefaultParagraphFont"/>
    <w:link w:val="CommentText"/>
    <w:uiPriority w:val="99"/>
    <w:semiHidden/>
    <w:qFormat/>
    <w:rsid w:val="00E572C1"/>
    <w:rPr>
      <w:sz w:val="20"/>
      <w:szCs w:val="20"/>
    </w:rPr>
  </w:style>
  <w:style w:type="character" w:customStyle="1" w:styleId="CommentSubjectChar">
    <w:name w:val="Comment Subject Char"/>
    <w:basedOn w:val="CommentTextChar"/>
    <w:link w:val="CommentSubject"/>
    <w:uiPriority w:val="99"/>
    <w:semiHidden/>
    <w:qFormat/>
    <w:rsid w:val="00E572C1"/>
    <w:rPr>
      <w:b/>
      <w:bCs/>
      <w:sz w:val="20"/>
      <w:szCs w:val="20"/>
    </w:rPr>
  </w:style>
  <w:style w:type="character" w:customStyle="1" w:styleId="BalloonTextChar">
    <w:name w:val="Balloon Text Char"/>
    <w:basedOn w:val="DefaultParagraphFont"/>
    <w:link w:val="BalloonText"/>
    <w:uiPriority w:val="99"/>
    <w:semiHidden/>
    <w:qFormat/>
    <w:rsid w:val="00E572C1"/>
    <w:rPr>
      <w:rFonts w:ascii="Tahoma" w:hAnsi="Tahoma" w:cs="Tahoma"/>
      <w:sz w:val="16"/>
      <w:szCs w:val="16"/>
    </w:rPr>
  </w:style>
  <w:style w:type="character" w:customStyle="1" w:styleId="LienInternet">
    <w:name w:val="Lien Internet"/>
    <w:basedOn w:val="DefaultParagraphFont"/>
    <w:uiPriority w:val="99"/>
    <w:unhideWhenUsed/>
    <w:rsid w:val="00152D85"/>
    <w:rPr>
      <w:color w:val="0000FF" w:themeColor="hyperlink"/>
      <w:u w:val="single"/>
    </w:rPr>
  </w:style>
  <w:style w:type="character" w:customStyle="1" w:styleId="HeaderChar">
    <w:name w:val="Header Char"/>
    <w:basedOn w:val="DefaultParagraphFont"/>
    <w:link w:val="Header"/>
    <w:uiPriority w:val="99"/>
    <w:qFormat/>
    <w:rsid w:val="00466493"/>
  </w:style>
  <w:style w:type="character" w:customStyle="1" w:styleId="FooterChar">
    <w:name w:val="Footer Char"/>
    <w:basedOn w:val="DefaultParagraphFont"/>
    <w:link w:val="Footer"/>
    <w:uiPriority w:val="99"/>
    <w:qFormat/>
    <w:rsid w:val="00466493"/>
  </w:style>
  <w:style w:type="character" w:customStyle="1" w:styleId="Heading1Char">
    <w:name w:val="Heading 1 Char"/>
    <w:basedOn w:val="DefaultParagraphFont"/>
    <w:link w:val="Heading1"/>
    <w:uiPriority w:val="9"/>
    <w:qFormat/>
    <w:rsid w:val="000A3C7E"/>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sz w:val="28"/>
    </w:rPr>
  </w:style>
  <w:style w:type="character" w:customStyle="1" w:styleId="ListLabel2">
    <w:name w:val="ListLabel 2"/>
    <w:qFormat/>
    <w:rPr>
      <w:b/>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rPr>
  </w:style>
  <w:style w:type="character" w:customStyle="1" w:styleId="ListLabel7">
    <w:name w:val="ListLabel 7"/>
    <w:qFormat/>
    <w:rPr>
      <w:sz w:val="22"/>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sz w:val="23"/>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Calibri" w:hAnsi="Calibri" w:cs="Symbol"/>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b/>
    </w:rPr>
  </w:style>
  <w:style w:type="paragraph" w:customStyle="1" w:styleId="Titre">
    <w:name w:val="Titr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3F1113"/>
    <w:pPr>
      <w:ind w:left="720"/>
      <w:contextualSpacing/>
    </w:pPr>
  </w:style>
  <w:style w:type="paragraph" w:customStyle="1" w:styleId="Default">
    <w:name w:val="Default"/>
    <w:qFormat/>
    <w:rsid w:val="001808BA"/>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semiHidden/>
    <w:unhideWhenUsed/>
    <w:qFormat/>
    <w:rsid w:val="00E572C1"/>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572C1"/>
    <w:rPr>
      <w:b/>
      <w:bCs/>
    </w:rPr>
  </w:style>
  <w:style w:type="paragraph" w:styleId="BalloonText">
    <w:name w:val="Balloon Text"/>
    <w:basedOn w:val="Normal"/>
    <w:link w:val="BalloonTextChar"/>
    <w:uiPriority w:val="99"/>
    <w:semiHidden/>
    <w:unhideWhenUsed/>
    <w:qFormat/>
    <w:rsid w:val="00E572C1"/>
    <w:pPr>
      <w:spacing w:after="0" w:line="240" w:lineRule="auto"/>
    </w:pPr>
    <w:rPr>
      <w:rFonts w:ascii="Tahoma" w:hAnsi="Tahoma" w:cs="Tahoma"/>
      <w:sz w:val="16"/>
      <w:szCs w:val="16"/>
    </w:rPr>
  </w:style>
  <w:style w:type="paragraph" w:styleId="Header">
    <w:name w:val="header"/>
    <w:basedOn w:val="Normal"/>
    <w:link w:val="HeaderChar"/>
    <w:uiPriority w:val="99"/>
    <w:unhideWhenUsed/>
    <w:rsid w:val="00466493"/>
    <w:pPr>
      <w:tabs>
        <w:tab w:val="center" w:pos="4513"/>
        <w:tab w:val="right" w:pos="9026"/>
      </w:tabs>
      <w:spacing w:after="0" w:line="240" w:lineRule="auto"/>
    </w:pPr>
  </w:style>
  <w:style w:type="paragraph" w:styleId="Footer">
    <w:name w:val="footer"/>
    <w:basedOn w:val="Normal"/>
    <w:link w:val="FooterChar"/>
    <w:uiPriority w:val="99"/>
    <w:unhideWhenUsed/>
    <w:rsid w:val="00466493"/>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0E3F5E"/>
    <w:rPr>
      <w:lang w:val="en-US" w:eastAsia="ja-JP"/>
    </w:rPr>
  </w:style>
  <w:style w:type="table" w:styleId="TableGrid">
    <w:name w:val="Table Grid"/>
    <w:basedOn w:val="TableNormal"/>
    <w:uiPriority w:val="59"/>
    <w:rsid w:val="0091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614"/>
    <w:rPr>
      <w:color w:val="0000FF" w:themeColor="hyperlink"/>
      <w:u w:val="single"/>
    </w:rPr>
  </w:style>
  <w:style w:type="paragraph" w:styleId="Revision">
    <w:name w:val="Revision"/>
    <w:hidden/>
    <w:uiPriority w:val="99"/>
    <w:semiHidden/>
    <w:rsid w:val="00BA6FD8"/>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link w:val="Heading1Char"/>
    <w:uiPriority w:val="9"/>
    <w:qFormat/>
    <w:rsid w:val="000A3C7E"/>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572C1"/>
    <w:rPr>
      <w:sz w:val="16"/>
      <w:szCs w:val="16"/>
    </w:rPr>
  </w:style>
  <w:style w:type="character" w:customStyle="1" w:styleId="CommentTextChar">
    <w:name w:val="Comment Text Char"/>
    <w:basedOn w:val="DefaultParagraphFont"/>
    <w:link w:val="CommentText"/>
    <w:uiPriority w:val="99"/>
    <w:semiHidden/>
    <w:qFormat/>
    <w:rsid w:val="00E572C1"/>
    <w:rPr>
      <w:sz w:val="20"/>
      <w:szCs w:val="20"/>
    </w:rPr>
  </w:style>
  <w:style w:type="character" w:customStyle="1" w:styleId="CommentSubjectChar">
    <w:name w:val="Comment Subject Char"/>
    <w:basedOn w:val="CommentTextChar"/>
    <w:link w:val="CommentSubject"/>
    <w:uiPriority w:val="99"/>
    <w:semiHidden/>
    <w:qFormat/>
    <w:rsid w:val="00E572C1"/>
    <w:rPr>
      <w:b/>
      <w:bCs/>
      <w:sz w:val="20"/>
      <w:szCs w:val="20"/>
    </w:rPr>
  </w:style>
  <w:style w:type="character" w:customStyle="1" w:styleId="BalloonTextChar">
    <w:name w:val="Balloon Text Char"/>
    <w:basedOn w:val="DefaultParagraphFont"/>
    <w:link w:val="BalloonText"/>
    <w:uiPriority w:val="99"/>
    <w:semiHidden/>
    <w:qFormat/>
    <w:rsid w:val="00E572C1"/>
    <w:rPr>
      <w:rFonts w:ascii="Tahoma" w:hAnsi="Tahoma" w:cs="Tahoma"/>
      <w:sz w:val="16"/>
      <w:szCs w:val="16"/>
    </w:rPr>
  </w:style>
  <w:style w:type="character" w:customStyle="1" w:styleId="LienInternet">
    <w:name w:val="Lien Internet"/>
    <w:basedOn w:val="DefaultParagraphFont"/>
    <w:uiPriority w:val="99"/>
    <w:unhideWhenUsed/>
    <w:rsid w:val="00152D85"/>
    <w:rPr>
      <w:color w:val="0000FF" w:themeColor="hyperlink"/>
      <w:u w:val="single"/>
    </w:rPr>
  </w:style>
  <w:style w:type="character" w:customStyle="1" w:styleId="HeaderChar">
    <w:name w:val="Header Char"/>
    <w:basedOn w:val="DefaultParagraphFont"/>
    <w:link w:val="Header"/>
    <w:uiPriority w:val="99"/>
    <w:qFormat/>
    <w:rsid w:val="00466493"/>
  </w:style>
  <w:style w:type="character" w:customStyle="1" w:styleId="FooterChar">
    <w:name w:val="Footer Char"/>
    <w:basedOn w:val="DefaultParagraphFont"/>
    <w:link w:val="Footer"/>
    <w:uiPriority w:val="99"/>
    <w:qFormat/>
    <w:rsid w:val="00466493"/>
  </w:style>
  <w:style w:type="character" w:customStyle="1" w:styleId="Heading1Char">
    <w:name w:val="Heading 1 Char"/>
    <w:basedOn w:val="DefaultParagraphFont"/>
    <w:link w:val="Heading1"/>
    <w:uiPriority w:val="9"/>
    <w:qFormat/>
    <w:rsid w:val="000A3C7E"/>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sz w:val="28"/>
    </w:rPr>
  </w:style>
  <w:style w:type="character" w:customStyle="1" w:styleId="ListLabel2">
    <w:name w:val="ListLabel 2"/>
    <w:qFormat/>
    <w:rPr>
      <w:b/>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rPr>
  </w:style>
  <w:style w:type="character" w:customStyle="1" w:styleId="ListLabel7">
    <w:name w:val="ListLabel 7"/>
    <w:qFormat/>
    <w:rPr>
      <w:sz w:val="22"/>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sz w:val="23"/>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Calibri" w:hAnsi="Calibri" w:cs="Symbol"/>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b/>
    </w:rPr>
  </w:style>
  <w:style w:type="paragraph" w:customStyle="1" w:styleId="Titre">
    <w:name w:val="Titr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3F1113"/>
    <w:pPr>
      <w:ind w:left="720"/>
      <w:contextualSpacing/>
    </w:pPr>
  </w:style>
  <w:style w:type="paragraph" w:customStyle="1" w:styleId="Default">
    <w:name w:val="Default"/>
    <w:qFormat/>
    <w:rsid w:val="001808BA"/>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semiHidden/>
    <w:unhideWhenUsed/>
    <w:qFormat/>
    <w:rsid w:val="00E572C1"/>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572C1"/>
    <w:rPr>
      <w:b/>
      <w:bCs/>
    </w:rPr>
  </w:style>
  <w:style w:type="paragraph" w:styleId="BalloonText">
    <w:name w:val="Balloon Text"/>
    <w:basedOn w:val="Normal"/>
    <w:link w:val="BalloonTextChar"/>
    <w:uiPriority w:val="99"/>
    <w:semiHidden/>
    <w:unhideWhenUsed/>
    <w:qFormat/>
    <w:rsid w:val="00E572C1"/>
    <w:pPr>
      <w:spacing w:after="0" w:line="240" w:lineRule="auto"/>
    </w:pPr>
    <w:rPr>
      <w:rFonts w:ascii="Tahoma" w:hAnsi="Tahoma" w:cs="Tahoma"/>
      <w:sz w:val="16"/>
      <w:szCs w:val="16"/>
    </w:rPr>
  </w:style>
  <w:style w:type="paragraph" w:styleId="Header">
    <w:name w:val="header"/>
    <w:basedOn w:val="Normal"/>
    <w:link w:val="HeaderChar"/>
    <w:uiPriority w:val="99"/>
    <w:unhideWhenUsed/>
    <w:rsid w:val="00466493"/>
    <w:pPr>
      <w:tabs>
        <w:tab w:val="center" w:pos="4513"/>
        <w:tab w:val="right" w:pos="9026"/>
      </w:tabs>
      <w:spacing w:after="0" w:line="240" w:lineRule="auto"/>
    </w:pPr>
  </w:style>
  <w:style w:type="paragraph" w:styleId="Footer">
    <w:name w:val="footer"/>
    <w:basedOn w:val="Normal"/>
    <w:link w:val="FooterChar"/>
    <w:uiPriority w:val="99"/>
    <w:unhideWhenUsed/>
    <w:rsid w:val="00466493"/>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0E3F5E"/>
    <w:rPr>
      <w:lang w:val="en-US" w:eastAsia="ja-JP"/>
    </w:rPr>
  </w:style>
  <w:style w:type="table" w:styleId="TableGrid">
    <w:name w:val="Table Grid"/>
    <w:basedOn w:val="TableNormal"/>
    <w:uiPriority w:val="59"/>
    <w:rsid w:val="0091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614"/>
    <w:rPr>
      <w:color w:val="0000FF" w:themeColor="hyperlink"/>
      <w:u w:val="single"/>
    </w:rPr>
  </w:style>
  <w:style w:type="paragraph" w:styleId="Revision">
    <w:name w:val="Revision"/>
    <w:hidden/>
    <w:uiPriority w:val="99"/>
    <w:semiHidden/>
    <w:rsid w:val="00BA6FD8"/>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rtals.iucn.org/best/?q=fr/content/informations-utiles-pour-les-projets-financ%C3%A9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rtals.iucn.org/best/?q=fr/content/informations-utiles-pour-les-projets-financ%C3%A9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34F9-439E-4BDF-9002-84D72455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IUCN\RosenbergA</dc:creator>
  <cp:lastModifiedBy>IUCN\MitchellD</cp:lastModifiedBy>
  <cp:revision>5</cp:revision>
  <dcterms:created xsi:type="dcterms:W3CDTF">2016-11-07T11:04:00Z</dcterms:created>
  <dcterms:modified xsi:type="dcterms:W3CDTF">2017-01-31T15:55:00Z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IUCN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