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E0" w:rsidRDefault="00C214A5">
      <w:pPr>
        <w:spacing w:after="0" w:line="240" w:lineRule="auto"/>
        <w:jc w:val="center"/>
        <w:rPr>
          <w:rFonts w:ascii="Cambria" w:eastAsia="Calibri" w:hAnsi="Cambria" w:cs="Times New Roman"/>
          <w:b/>
          <w:bCs/>
          <w:color w:val="376092"/>
          <w:sz w:val="28"/>
          <w:szCs w:val="23"/>
        </w:rPr>
      </w:pPr>
      <w:r>
        <w:rPr>
          <w:noProof/>
          <w:lang w:eastAsia="en-GB"/>
        </w:rPr>
        <w:drawing>
          <wp:inline distT="0" distB="0" distL="0" distR="0" wp14:anchorId="3F454469" wp14:editId="5F5E4423">
            <wp:extent cx="127635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276350" cy="1076325"/>
                    </a:xfrm>
                    <a:prstGeom prst="rect">
                      <a:avLst/>
                    </a:prstGeom>
                  </pic:spPr>
                </pic:pic>
              </a:graphicData>
            </a:graphic>
          </wp:inline>
        </w:drawing>
      </w:r>
    </w:p>
    <w:p w:rsidR="00CD40E0" w:rsidRDefault="00CD40E0">
      <w:pPr>
        <w:spacing w:after="0" w:line="240" w:lineRule="auto"/>
        <w:jc w:val="center"/>
        <w:rPr>
          <w:rFonts w:ascii="Cambria" w:eastAsia="Calibri" w:hAnsi="Cambria" w:cs="Times New Roman"/>
          <w:b/>
          <w:bCs/>
          <w:color w:val="376092"/>
          <w:sz w:val="28"/>
          <w:szCs w:val="23"/>
        </w:rPr>
      </w:pPr>
    </w:p>
    <w:p w:rsidR="00CD40E0" w:rsidRDefault="00C214A5">
      <w:pPr>
        <w:spacing w:after="0" w:line="240" w:lineRule="auto"/>
        <w:jc w:val="center"/>
        <w:rPr>
          <w:rFonts w:ascii="Cambria" w:eastAsia="Calibri" w:hAnsi="Cambria" w:cs="Times New Roman"/>
          <w:b/>
          <w:bCs/>
          <w:color w:val="376092"/>
          <w:sz w:val="36"/>
          <w:szCs w:val="23"/>
        </w:rPr>
      </w:pPr>
      <w:r>
        <w:rPr>
          <w:rFonts w:ascii="Cambria" w:eastAsia="Calibri" w:hAnsi="Cambria" w:cs="Times New Roman"/>
          <w:b/>
          <w:bCs/>
          <w:color w:val="376092"/>
          <w:sz w:val="36"/>
          <w:szCs w:val="23"/>
        </w:rPr>
        <w:t>BEST 2.0: FINANCIAL REPORTING GUIDELINES</w:t>
      </w:r>
    </w:p>
    <w:p w:rsidR="00CD40E0" w:rsidRDefault="00CD40E0">
      <w:pPr>
        <w:spacing w:after="0" w:line="240" w:lineRule="auto"/>
        <w:rPr>
          <w:b/>
          <w:bCs/>
          <w:sz w:val="23"/>
          <w:szCs w:val="23"/>
        </w:rPr>
      </w:pPr>
    </w:p>
    <w:p w:rsidR="00CD40E0" w:rsidRDefault="00C214A5">
      <w:pPr>
        <w:pStyle w:val="Heading1"/>
        <w:numPr>
          <w:ilvl w:val="0"/>
          <w:numId w:val="4"/>
        </w:numPr>
        <w:ind w:left="851" w:hanging="851"/>
      </w:pPr>
      <w:r>
        <w:t>Principle – reimbursement of actually incurred eligible costs</w:t>
      </w:r>
    </w:p>
    <w:p w:rsidR="00CD40E0" w:rsidRDefault="00C214A5">
      <w:pPr>
        <w:pStyle w:val="Default"/>
        <w:ind w:left="567"/>
        <w:jc w:val="both"/>
        <w:rPr>
          <w:rFonts w:asciiTheme="minorHAnsi" w:hAnsiTheme="minorHAnsi"/>
          <w:sz w:val="22"/>
          <w:szCs w:val="23"/>
        </w:rPr>
      </w:pPr>
      <w:r w:rsidRPr="00B20BC6">
        <w:rPr>
          <w:rFonts w:asciiTheme="minorHAnsi" w:hAnsiTheme="minorHAnsi"/>
          <w:b/>
          <w:sz w:val="22"/>
          <w:szCs w:val="23"/>
          <w:u w:val="single"/>
        </w:rPr>
        <w:t>Only actually incurred eligible costs will be reimbursed</w:t>
      </w:r>
      <w:r>
        <w:rPr>
          <w:rFonts w:asciiTheme="minorHAnsi" w:hAnsiTheme="minorHAnsi"/>
          <w:sz w:val="22"/>
          <w:szCs w:val="23"/>
        </w:rPr>
        <w:t xml:space="preserve"> by a BEST 2.0 grant.</w:t>
      </w:r>
    </w:p>
    <w:p w:rsidR="00CD40E0" w:rsidRDefault="00CD40E0">
      <w:pPr>
        <w:pStyle w:val="Default"/>
        <w:ind w:left="567"/>
        <w:jc w:val="both"/>
        <w:rPr>
          <w:rFonts w:asciiTheme="minorHAnsi" w:hAnsiTheme="minorHAnsi"/>
          <w:sz w:val="22"/>
          <w:szCs w:val="23"/>
        </w:rPr>
      </w:pPr>
    </w:p>
    <w:p w:rsidR="00CD40E0" w:rsidRDefault="00C214A5">
      <w:pPr>
        <w:pStyle w:val="Default"/>
        <w:ind w:left="567"/>
        <w:jc w:val="both"/>
        <w:rPr>
          <w:rFonts w:asciiTheme="minorHAnsi" w:hAnsiTheme="minorHAnsi"/>
          <w:sz w:val="22"/>
          <w:szCs w:val="23"/>
        </w:rPr>
      </w:pPr>
      <w:r>
        <w:rPr>
          <w:rFonts w:asciiTheme="minorHAnsi" w:hAnsiTheme="minorHAnsi"/>
          <w:sz w:val="22"/>
          <w:szCs w:val="23"/>
        </w:rPr>
        <w:t xml:space="preserve">“Budgeted” costs – i.e. costs </w:t>
      </w:r>
      <w:r w:rsidR="00507422">
        <w:rPr>
          <w:rFonts w:asciiTheme="minorHAnsi" w:hAnsiTheme="minorHAnsi"/>
          <w:sz w:val="22"/>
          <w:szCs w:val="23"/>
        </w:rPr>
        <w:t xml:space="preserve">shown </w:t>
      </w:r>
      <w:r>
        <w:rPr>
          <w:rFonts w:asciiTheme="minorHAnsi" w:hAnsiTheme="minorHAnsi"/>
          <w:sz w:val="22"/>
          <w:szCs w:val="23"/>
        </w:rPr>
        <w:t>in the budget submitted with your proposal - are used to establish an estimate budget for the project. Once awarded a grant the “actual” costs incurred must be used as the basis for completing the Interim and Final Financial Reports (except for indirect costs which can be included at a maximum rate of 7% of the eligible direct costs).</w:t>
      </w:r>
    </w:p>
    <w:p w:rsidR="00CD40E0" w:rsidRDefault="00CD40E0">
      <w:pPr>
        <w:pStyle w:val="Default"/>
        <w:ind w:left="567"/>
        <w:jc w:val="both"/>
        <w:rPr>
          <w:rFonts w:asciiTheme="minorHAnsi" w:hAnsiTheme="minorHAnsi"/>
          <w:sz w:val="22"/>
          <w:szCs w:val="23"/>
        </w:rPr>
      </w:pPr>
    </w:p>
    <w:p w:rsidR="00CD40E0" w:rsidRDefault="00C214A5">
      <w:pPr>
        <w:pStyle w:val="ListParagraph"/>
        <w:spacing w:after="0" w:line="240" w:lineRule="auto"/>
        <w:ind w:left="567"/>
        <w:jc w:val="both"/>
        <w:rPr>
          <w:szCs w:val="23"/>
        </w:rPr>
      </w:pPr>
      <w:r w:rsidRPr="00B20BC6">
        <w:rPr>
          <w:b/>
          <w:szCs w:val="23"/>
          <w:u w:val="single"/>
        </w:rPr>
        <w:t>Incurred costs must be supported by documentary evidence</w:t>
      </w:r>
      <w:r>
        <w:rPr>
          <w:szCs w:val="23"/>
        </w:rPr>
        <w:t xml:space="preserve"> proving that they are actual costs. Estimated amounts, or budgeted amounts, are not acceptable and will be deemed to be ineligible.</w:t>
      </w:r>
    </w:p>
    <w:p w:rsidR="00282891" w:rsidRDefault="00282891">
      <w:pPr>
        <w:pStyle w:val="ListParagraph"/>
        <w:spacing w:after="0" w:line="240" w:lineRule="auto"/>
        <w:ind w:left="567"/>
        <w:jc w:val="both"/>
        <w:rPr>
          <w:szCs w:val="23"/>
        </w:rPr>
      </w:pPr>
    </w:p>
    <w:p w:rsidR="00282891" w:rsidRDefault="00282891">
      <w:pPr>
        <w:pStyle w:val="ListParagraph"/>
        <w:spacing w:after="0" w:line="240" w:lineRule="auto"/>
        <w:ind w:left="567"/>
        <w:jc w:val="both"/>
        <w:rPr>
          <w:b/>
          <w:bCs/>
          <w:szCs w:val="23"/>
        </w:rPr>
      </w:pPr>
      <w:r>
        <w:rPr>
          <w:szCs w:val="23"/>
        </w:rPr>
        <w:t xml:space="preserve">Please note that the maximum amount of BEST 2.0 grant is set out in Art.1 of the Special Conditions of the BEST 2.0 Grant Agreement. Any costs incurred in excess of this amount </w:t>
      </w:r>
      <w:r w:rsidR="0036594B">
        <w:rPr>
          <w:szCs w:val="23"/>
        </w:rPr>
        <w:t>will be covered by the beneficiary.</w:t>
      </w:r>
    </w:p>
    <w:p w:rsidR="00CD40E0" w:rsidRDefault="00C214A5">
      <w:pPr>
        <w:pStyle w:val="Heading1"/>
        <w:numPr>
          <w:ilvl w:val="0"/>
          <w:numId w:val="4"/>
        </w:numPr>
        <w:ind w:left="851" w:hanging="851"/>
      </w:pPr>
      <w:r>
        <w:t>Reliable accounting and reporting system</w:t>
      </w:r>
    </w:p>
    <w:p w:rsidR="00CD40E0" w:rsidRDefault="00C214A5">
      <w:pPr>
        <w:pStyle w:val="ListParagraph"/>
        <w:spacing w:after="0" w:line="240" w:lineRule="auto"/>
        <w:ind w:left="567"/>
        <w:jc w:val="both"/>
        <w:rPr>
          <w:szCs w:val="23"/>
        </w:rPr>
      </w:pPr>
      <w:r>
        <w:rPr>
          <w:szCs w:val="23"/>
        </w:rPr>
        <w:t>The accounting procedures must allow for a direct reconciliation of the costs declared for the project with the corresponding supporting documents.</w:t>
      </w:r>
    </w:p>
    <w:p w:rsidR="00CD40E0" w:rsidRDefault="00CD40E0">
      <w:pPr>
        <w:pStyle w:val="ListParagraph"/>
        <w:spacing w:after="0" w:line="240" w:lineRule="auto"/>
        <w:ind w:left="567"/>
        <w:jc w:val="both"/>
        <w:rPr>
          <w:szCs w:val="23"/>
        </w:rPr>
      </w:pPr>
    </w:p>
    <w:p w:rsidR="00CD40E0" w:rsidRDefault="00C214A5">
      <w:pPr>
        <w:pStyle w:val="ListParagraph"/>
        <w:spacing w:after="0" w:line="240" w:lineRule="auto"/>
        <w:ind w:left="567"/>
        <w:jc w:val="both"/>
      </w:pPr>
      <w:r>
        <w:rPr>
          <w:szCs w:val="23"/>
        </w:rPr>
        <w:t xml:space="preserve">In order to establish a reliable accounting and reporting system, it is highly recommended to establish </w:t>
      </w:r>
      <w:r>
        <w:rPr>
          <w:b/>
          <w:szCs w:val="23"/>
          <w:highlight w:val="green"/>
        </w:rPr>
        <w:t>project codes</w:t>
      </w:r>
      <w:r>
        <w:rPr>
          <w:szCs w:val="23"/>
        </w:rPr>
        <w:t xml:space="preserve"> in the analytical accounting system(s) and it is mandatory in the time registration system(s). Costs not clearly attributed to a specific project risk being considered ineligible. </w:t>
      </w:r>
    </w:p>
    <w:p w:rsidR="00CD40E0" w:rsidRDefault="00CD40E0">
      <w:pPr>
        <w:pStyle w:val="ListParagraph"/>
        <w:spacing w:after="0" w:line="240" w:lineRule="auto"/>
        <w:ind w:left="567"/>
        <w:jc w:val="both"/>
        <w:rPr>
          <w:szCs w:val="23"/>
        </w:rPr>
      </w:pPr>
    </w:p>
    <w:p w:rsidR="004755CD" w:rsidRPr="00282891" w:rsidRDefault="004755CD" w:rsidP="004755CD">
      <w:pPr>
        <w:pStyle w:val="ListParagraph"/>
        <w:spacing w:after="0" w:line="240" w:lineRule="auto"/>
        <w:ind w:left="567"/>
        <w:jc w:val="both"/>
        <w:rPr>
          <w:b/>
          <w:color w:val="4F81BD" w:themeColor="accent1"/>
          <w:szCs w:val="23"/>
        </w:rPr>
      </w:pPr>
      <w:r>
        <w:rPr>
          <w:b/>
          <w:color w:val="4F81BD" w:themeColor="accent1"/>
          <w:szCs w:val="23"/>
        </w:rPr>
        <w:t xml:space="preserve">Example: </w:t>
      </w:r>
    </w:p>
    <w:p w:rsidR="004755CD" w:rsidRDefault="004755CD" w:rsidP="00B20BC6">
      <w:pPr>
        <w:pStyle w:val="ListParagraph"/>
        <w:numPr>
          <w:ilvl w:val="0"/>
          <w:numId w:val="7"/>
        </w:numPr>
        <w:spacing w:before="120" w:after="120" w:line="240" w:lineRule="auto"/>
        <w:ind w:left="1281" w:hanging="357"/>
        <w:contextualSpacing w:val="0"/>
        <w:jc w:val="both"/>
        <w:rPr>
          <w:szCs w:val="23"/>
        </w:rPr>
      </w:pPr>
      <w:r>
        <w:rPr>
          <w:szCs w:val="23"/>
        </w:rPr>
        <w:t xml:space="preserve">All invoices and other accounting documents bear </w:t>
      </w:r>
      <w:r w:rsidR="00B20BC6">
        <w:rPr>
          <w:szCs w:val="23"/>
        </w:rPr>
        <w:t>the reference</w:t>
      </w:r>
      <w:r>
        <w:rPr>
          <w:szCs w:val="23"/>
        </w:rPr>
        <w:t xml:space="preserve"> “BEST 2.0” and </w:t>
      </w:r>
      <w:r w:rsidR="00507422">
        <w:rPr>
          <w:szCs w:val="23"/>
        </w:rPr>
        <w:t xml:space="preserve">the </w:t>
      </w:r>
      <w:r>
        <w:rPr>
          <w:szCs w:val="23"/>
        </w:rPr>
        <w:t>grant</w:t>
      </w:r>
      <w:r w:rsidR="00507422">
        <w:rPr>
          <w:szCs w:val="23"/>
        </w:rPr>
        <w:t xml:space="preserve"> agreement</w:t>
      </w:r>
      <w:r>
        <w:rPr>
          <w:szCs w:val="23"/>
        </w:rPr>
        <w:t xml:space="preserve"> number.</w:t>
      </w:r>
    </w:p>
    <w:p w:rsidR="004755CD" w:rsidRDefault="004755CD" w:rsidP="00B20BC6">
      <w:pPr>
        <w:pStyle w:val="ListParagraph"/>
        <w:numPr>
          <w:ilvl w:val="0"/>
          <w:numId w:val="7"/>
        </w:numPr>
        <w:spacing w:before="120" w:after="120" w:line="240" w:lineRule="auto"/>
        <w:ind w:left="1281" w:hanging="357"/>
        <w:contextualSpacing w:val="0"/>
        <w:jc w:val="both"/>
        <w:rPr>
          <w:szCs w:val="23"/>
        </w:rPr>
      </w:pPr>
      <w:r>
        <w:rPr>
          <w:szCs w:val="23"/>
        </w:rPr>
        <w:t>All accounting entries are tagged with a project code referring to</w:t>
      </w:r>
      <w:r w:rsidR="00507422">
        <w:rPr>
          <w:szCs w:val="23"/>
        </w:rPr>
        <w:t xml:space="preserve"> the</w:t>
      </w:r>
      <w:r>
        <w:rPr>
          <w:szCs w:val="23"/>
        </w:rPr>
        <w:t xml:space="preserve"> BEST 2.0</w:t>
      </w:r>
      <w:r w:rsidR="00507422">
        <w:rPr>
          <w:szCs w:val="23"/>
        </w:rPr>
        <w:t xml:space="preserve"> grant</w:t>
      </w:r>
      <w:r>
        <w:rPr>
          <w:szCs w:val="23"/>
        </w:rPr>
        <w:t>.</w:t>
      </w:r>
    </w:p>
    <w:p w:rsidR="004755CD" w:rsidRDefault="004755CD">
      <w:pPr>
        <w:pStyle w:val="ListParagraph"/>
        <w:spacing w:after="0" w:line="240" w:lineRule="auto"/>
        <w:ind w:left="567"/>
        <w:jc w:val="both"/>
        <w:rPr>
          <w:szCs w:val="23"/>
        </w:rPr>
      </w:pPr>
    </w:p>
    <w:p w:rsidR="00CD40E0" w:rsidRDefault="00C214A5">
      <w:pPr>
        <w:pStyle w:val="ListParagraph"/>
        <w:spacing w:after="0" w:line="240" w:lineRule="auto"/>
        <w:ind w:left="567"/>
        <w:jc w:val="both"/>
        <w:rPr>
          <w:szCs w:val="23"/>
        </w:rPr>
      </w:pPr>
      <w:r>
        <w:rPr>
          <w:szCs w:val="23"/>
        </w:rPr>
        <w:t xml:space="preserve">It is recommended to use the reference number of your BEST 2.0 Grant Agreement </w:t>
      </w:r>
      <w:r w:rsidR="00507422">
        <w:rPr>
          <w:szCs w:val="23"/>
        </w:rPr>
        <w:t xml:space="preserve">as a project code </w:t>
      </w:r>
      <w:r>
        <w:rPr>
          <w:szCs w:val="23"/>
        </w:rPr>
        <w:t>and that this is included on all project related invoices. You should ask your suppliers and subcontractors to include this number as a reference on their invoices; if it is not included it can be written or stamped on the original paper invoice.</w:t>
      </w:r>
    </w:p>
    <w:p w:rsidR="00CD40E0" w:rsidRDefault="00C214A5">
      <w:pPr>
        <w:pStyle w:val="Heading1"/>
        <w:numPr>
          <w:ilvl w:val="0"/>
          <w:numId w:val="4"/>
        </w:numPr>
        <w:ind w:left="851" w:hanging="851"/>
      </w:pPr>
      <w:r>
        <w:lastRenderedPageBreak/>
        <w:t>Time-registration system</w:t>
      </w:r>
    </w:p>
    <w:p w:rsidR="00CD40E0" w:rsidRDefault="00C214A5">
      <w:pPr>
        <w:pStyle w:val="ListParagraph"/>
        <w:spacing w:after="0" w:line="240" w:lineRule="auto"/>
        <w:ind w:left="567"/>
        <w:jc w:val="both"/>
        <w:rPr>
          <w:szCs w:val="23"/>
        </w:rPr>
      </w:pPr>
      <w:r>
        <w:rPr>
          <w:szCs w:val="23"/>
        </w:rPr>
        <w:t xml:space="preserve">Each individual working on the project should complete </w:t>
      </w:r>
      <w:r w:rsidRPr="00B20BC6">
        <w:rPr>
          <w:b/>
          <w:szCs w:val="23"/>
          <w:u w:val="single"/>
        </w:rPr>
        <w:t>timesheets recording their total working time for the organisation</w:t>
      </w:r>
      <w:r w:rsidR="00B20BC6">
        <w:rPr>
          <w:szCs w:val="23"/>
        </w:rPr>
        <w:t xml:space="preserve">, </w:t>
      </w:r>
      <w:r w:rsidR="00B20BC6" w:rsidRPr="00B20BC6">
        <w:rPr>
          <w:szCs w:val="23"/>
        </w:rPr>
        <w:t xml:space="preserve">that is to say both the time dedicated to the BEST 2.0 project </w:t>
      </w:r>
      <w:r w:rsidR="00B20BC6">
        <w:rPr>
          <w:szCs w:val="23"/>
        </w:rPr>
        <w:t xml:space="preserve">as well as the </w:t>
      </w:r>
      <w:r w:rsidR="00B20BC6" w:rsidRPr="00B20BC6">
        <w:rPr>
          <w:szCs w:val="23"/>
        </w:rPr>
        <w:t>devoted to other activities or projects</w:t>
      </w:r>
      <w:r w:rsidR="00B20BC6">
        <w:rPr>
          <w:szCs w:val="23"/>
        </w:rPr>
        <w:t>,</w:t>
      </w:r>
      <w:r w:rsidR="00B20BC6" w:rsidRPr="00B20BC6">
        <w:rPr>
          <w:szCs w:val="23"/>
        </w:rPr>
        <w:t xml:space="preserve"> especially if these other activities or projects are also financed by the Union European</w:t>
      </w:r>
      <w:r w:rsidR="00B20BC6">
        <w:rPr>
          <w:szCs w:val="23"/>
        </w:rPr>
        <w:t xml:space="preserve">. </w:t>
      </w:r>
      <w:r w:rsidR="00B20BC6" w:rsidRPr="00B20BC6">
        <w:rPr>
          <w:b/>
          <w:szCs w:val="23"/>
          <w:u w:val="single"/>
        </w:rPr>
        <w:t>I</w:t>
      </w:r>
      <w:r w:rsidRPr="00B20BC6">
        <w:rPr>
          <w:b/>
          <w:szCs w:val="23"/>
          <w:u w:val="single"/>
        </w:rPr>
        <w:t>t is not sufficient for the timesheet to only record the time spent on the BEST 2.0 project.</w:t>
      </w:r>
    </w:p>
    <w:p w:rsidR="00CD40E0" w:rsidRDefault="00CD40E0">
      <w:pPr>
        <w:pStyle w:val="ListParagraph"/>
        <w:spacing w:after="0" w:line="240" w:lineRule="auto"/>
        <w:ind w:left="567"/>
        <w:jc w:val="both"/>
        <w:rPr>
          <w:szCs w:val="23"/>
        </w:rPr>
      </w:pPr>
    </w:p>
    <w:p w:rsidR="00CD40E0" w:rsidRDefault="00C214A5">
      <w:pPr>
        <w:pStyle w:val="ListParagraph"/>
        <w:spacing w:after="0" w:line="240" w:lineRule="auto"/>
        <w:ind w:left="567"/>
        <w:jc w:val="both"/>
        <w:rPr>
          <w:szCs w:val="23"/>
        </w:rPr>
      </w:pPr>
      <w:r>
        <w:rPr>
          <w:szCs w:val="23"/>
        </w:rPr>
        <w:t xml:space="preserve">If your organization does not have a time registration system in place at the time that the grant agreement is signed, it should, as a minimum: </w:t>
      </w:r>
    </w:p>
    <w:p w:rsidR="00CD40E0" w:rsidRDefault="00B20BC6">
      <w:pPr>
        <w:pStyle w:val="ListParagraph"/>
        <w:numPr>
          <w:ilvl w:val="0"/>
          <w:numId w:val="2"/>
        </w:numPr>
        <w:spacing w:before="120" w:after="120" w:line="240" w:lineRule="auto"/>
        <w:ind w:left="1417" w:hanging="425"/>
        <w:contextualSpacing w:val="0"/>
        <w:jc w:val="both"/>
        <w:rPr>
          <w:szCs w:val="23"/>
        </w:rPr>
      </w:pPr>
      <w:r>
        <w:rPr>
          <w:szCs w:val="23"/>
        </w:rPr>
        <w:t>E</w:t>
      </w:r>
      <w:r w:rsidR="00C214A5">
        <w:rPr>
          <w:szCs w:val="23"/>
        </w:rPr>
        <w:t xml:space="preserve">stablish registration and submission routines for the project staff, </w:t>
      </w:r>
    </w:p>
    <w:p w:rsidR="00CD40E0" w:rsidRDefault="00B20BC6">
      <w:pPr>
        <w:pStyle w:val="ListParagraph"/>
        <w:numPr>
          <w:ilvl w:val="0"/>
          <w:numId w:val="2"/>
        </w:numPr>
        <w:spacing w:before="120" w:after="120" w:line="240" w:lineRule="auto"/>
        <w:ind w:left="1417" w:hanging="425"/>
        <w:contextualSpacing w:val="0"/>
        <w:jc w:val="both"/>
        <w:rPr>
          <w:szCs w:val="23"/>
        </w:rPr>
      </w:pPr>
      <w:r>
        <w:rPr>
          <w:szCs w:val="23"/>
        </w:rPr>
        <w:t>I</w:t>
      </w:r>
      <w:r w:rsidR="00C214A5">
        <w:rPr>
          <w:szCs w:val="23"/>
        </w:rPr>
        <w:t>ntroduce a validation routine for the supervisors/line managers to certify the correctness of the timesheets.</w:t>
      </w:r>
    </w:p>
    <w:p w:rsidR="00B20BC6" w:rsidRDefault="00B20BC6">
      <w:pPr>
        <w:pStyle w:val="ListParagraph"/>
        <w:spacing w:after="0" w:line="240" w:lineRule="auto"/>
        <w:ind w:left="567"/>
        <w:jc w:val="both"/>
        <w:rPr>
          <w:szCs w:val="23"/>
        </w:rPr>
      </w:pPr>
    </w:p>
    <w:p w:rsidR="00CD40E0" w:rsidRDefault="00C214A5">
      <w:pPr>
        <w:pStyle w:val="ListParagraph"/>
        <w:spacing w:after="0" w:line="240" w:lineRule="auto"/>
        <w:ind w:left="567"/>
        <w:jc w:val="both"/>
        <w:rPr>
          <w:szCs w:val="23"/>
        </w:rPr>
      </w:pPr>
      <w:r>
        <w:rPr>
          <w:szCs w:val="23"/>
        </w:rPr>
        <w:t>Employing inappropriate or unreliable timesheets or time registration systems may jeopardize the eligibility of the personnel costs reported and reduce the grant amount received.</w:t>
      </w:r>
    </w:p>
    <w:p w:rsidR="00CD40E0" w:rsidRDefault="00CD40E0">
      <w:pPr>
        <w:pStyle w:val="ListParagraph"/>
        <w:spacing w:after="0" w:line="240" w:lineRule="auto"/>
        <w:ind w:left="567"/>
        <w:jc w:val="both"/>
        <w:rPr>
          <w:szCs w:val="23"/>
        </w:rPr>
      </w:pPr>
    </w:p>
    <w:p w:rsidR="00507422" w:rsidRDefault="00C214A5" w:rsidP="00B20BC6">
      <w:pPr>
        <w:pStyle w:val="ListParagraph"/>
        <w:spacing w:after="0" w:line="240" w:lineRule="auto"/>
        <w:ind w:left="567"/>
        <w:jc w:val="both"/>
        <w:rPr>
          <w:szCs w:val="23"/>
        </w:rPr>
      </w:pPr>
      <w:r>
        <w:rPr>
          <w:szCs w:val="23"/>
        </w:rPr>
        <w:t>Standardized and certified time registration systems are accepted</w:t>
      </w:r>
      <w:r w:rsidR="00507422">
        <w:rPr>
          <w:szCs w:val="23"/>
        </w:rPr>
        <w:t xml:space="preserve"> provided they include all of the information indicated below</w:t>
      </w:r>
      <w:r>
        <w:rPr>
          <w:szCs w:val="23"/>
        </w:rPr>
        <w:t>.</w:t>
      </w:r>
      <w:r w:rsidR="00507422">
        <w:rPr>
          <w:szCs w:val="23"/>
        </w:rPr>
        <w:t xml:space="preserve"> </w:t>
      </w:r>
    </w:p>
    <w:p w:rsidR="00507422" w:rsidRDefault="00507422" w:rsidP="00B20BC6">
      <w:pPr>
        <w:pStyle w:val="ListParagraph"/>
        <w:spacing w:after="0" w:line="240" w:lineRule="auto"/>
        <w:ind w:left="567"/>
        <w:jc w:val="both"/>
        <w:rPr>
          <w:szCs w:val="23"/>
        </w:rPr>
      </w:pPr>
    </w:p>
    <w:p w:rsidR="00CD40E0" w:rsidRDefault="00507422" w:rsidP="00B20BC6">
      <w:pPr>
        <w:pStyle w:val="ListParagraph"/>
        <w:spacing w:after="0" w:line="240" w:lineRule="auto"/>
        <w:ind w:left="567"/>
        <w:jc w:val="both"/>
      </w:pPr>
      <w:r>
        <w:rPr>
          <w:szCs w:val="23"/>
        </w:rPr>
        <w:t xml:space="preserve">In case of any doubt </w:t>
      </w:r>
      <w:r w:rsidR="0027077B">
        <w:rPr>
          <w:szCs w:val="23"/>
        </w:rPr>
        <w:t>you</w:t>
      </w:r>
      <w:r>
        <w:rPr>
          <w:szCs w:val="23"/>
        </w:rPr>
        <w:t xml:space="preserve"> should use the timesheet </w:t>
      </w:r>
      <w:r w:rsidR="00C214A5">
        <w:rPr>
          <w:szCs w:val="23"/>
        </w:rPr>
        <w:t>template</w:t>
      </w:r>
      <w:r w:rsidR="00282891">
        <w:rPr>
          <w:szCs w:val="23"/>
        </w:rPr>
        <w:t xml:space="preserve"> </w:t>
      </w:r>
      <w:r w:rsidR="00C214A5">
        <w:rPr>
          <w:szCs w:val="23"/>
        </w:rPr>
        <w:t xml:space="preserve">available on the </w:t>
      </w:r>
      <w:hyperlink r:id="rId10">
        <w:r w:rsidR="00C214A5">
          <w:rPr>
            <w:rStyle w:val="LienInternet"/>
            <w:szCs w:val="23"/>
          </w:rPr>
          <w:t>Useful</w:t>
        </w:r>
        <w:r w:rsidR="00B20BC6">
          <w:rPr>
            <w:rStyle w:val="LienInternet"/>
            <w:szCs w:val="23"/>
          </w:rPr>
          <w:t xml:space="preserve"> </w:t>
        </w:r>
        <w:r w:rsidR="00C214A5">
          <w:rPr>
            <w:rStyle w:val="LienInternet"/>
            <w:szCs w:val="23"/>
          </w:rPr>
          <w:t>Information for BEST 2.0 Projects</w:t>
        </w:r>
      </w:hyperlink>
      <w:r w:rsidR="00C214A5">
        <w:rPr>
          <w:szCs w:val="23"/>
        </w:rPr>
        <w:t xml:space="preserve"> page of the BEST 2.0 Portal.</w:t>
      </w:r>
    </w:p>
    <w:p w:rsidR="00CD40E0" w:rsidRDefault="00CD40E0">
      <w:pPr>
        <w:pStyle w:val="ListParagraph"/>
        <w:spacing w:after="0" w:line="240" w:lineRule="auto"/>
        <w:ind w:left="567"/>
        <w:jc w:val="both"/>
        <w:rPr>
          <w:szCs w:val="23"/>
        </w:rPr>
      </w:pPr>
    </w:p>
    <w:p w:rsidR="00CD40E0" w:rsidRDefault="00C214A5">
      <w:pPr>
        <w:pStyle w:val="ListParagraph"/>
        <w:spacing w:after="0" w:line="240" w:lineRule="auto"/>
        <w:ind w:left="567"/>
        <w:jc w:val="both"/>
        <w:rPr>
          <w:szCs w:val="23"/>
        </w:rPr>
      </w:pPr>
      <w:r>
        <w:rPr>
          <w:szCs w:val="23"/>
        </w:rPr>
        <w:t>Information required that must be included in the timesheet:</w:t>
      </w:r>
    </w:p>
    <w:p w:rsidR="00B20BC6" w:rsidRDefault="00B20BC6">
      <w:pPr>
        <w:pStyle w:val="ListParagraph"/>
        <w:spacing w:after="0" w:line="240" w:lineRule="auto"/>
        <w:ind w:left="567"/>
        <w:jc w:val="both"/>
        <w:rPr>
          <w:szCs w:val="23"/>
        </w:rPr>
      </w:pPr>
    </w:p>
    <w:p w:rsidR="00CD40E0" w:rsidRDefault="00C214A5" w:rsidP="00B20BC6">
      <w:pPr>
        <w:pStyle w:val="ListParagraph"/>
        <w:spacing w:before="40" w:after="40" w:line="240" w:lineRule="auto"/>
        <w:ind w:left="992"/>
        <w:contextualSpacing w:val="0"/>
        <w:jc w:val="both"/>
        <w:rPr>
          <w:szCs w:val="23"/>
        </w:rPr>
      </w:pPr>
      <w:r>
        <w:rPr>
          <w:szCs w:val="23"/>
        </w:rPr>
        <w:t xml:space="preserve">a) </w:t>
      </w:r>
      <w:r>
        <w:rPr>
          <w:szCs w:val="23"/>
        </w:rPr>
        <w:tab/>
        <w:t xml:space="preserve">Clear identification or reference to BEST 2.0 project. </w:t>
      </w:r>
    </w:p>
    <w:p w:rsidR="00CD40E0" w:rsidRDefault="00C214A5" w:rsidP="00B20BC6">
      <w:pPr>
        <w:pStyle w:val="ListParagraph"/>
        <w:spacing w:before="40" w:after="40" w:line="240" w:lineRule="auto"/>
        <w:ind w:left="992"/>
        <w:contextualSpacing w:val="0"/>
        <w:jc w:val="both"/>
        <w:rPr>
          <w:szCs w:val="23"/>
        </w:rPr>
      </w:pPr>
      <w:r>
        <w:rPr>
          <w:szCs w:val="23"/>
        </w:rPr>
        <w:t xml:space="preserve">b) </w:t>
      </w:r>
      <w:r>
        <w:rPr>
          <w:szCs w:val="23"/>
        </w:rPr>
        <w:tab/>
        <w:t xml:space="preserve">Clear identification of the employee. </w:t>
      </w:r>
    </w:p>
    <w:p w:rsidR="00CD40E0" w:rsidRDefault="00C214A5" w:rsidP="00B20BC6">
      <w:pPr>
        <w:pStyle w:val="ListParagraph"/>
        <w:spacing w:before="40" w:after="40" w:line="240" w:lineRule="auto"/>
        <w:ind w:left="992"/>
        <w:contextualSpacing w:val="0"/>
        <w:jc w:val="both"/>
        <w:rPr>
          <w:szCs w:val="23"/>
        </w:rPr>
      </w:pPr>
      <w:r>
        <w:rPr>
          <w:szCs w:val="23"/>
        </w:rPr>
        <w:t xml:space="preserve">c) </w:t>
      </w:r>
      <w:r>
        <w:rPr>
          <w:szCs w:val="23"/>
        </w:rPr>
        <w:tab/>
        <w:t xml:space="preserve">Clear identification of the year, month and day. </w:t>
      </w:r>
    </w:p>
    <w:p w:rsidR="00CD40E0" w:rsidRDefault="00C214A5" w:rsidP="00B20BC6">
      <w:pPr>
        <w:pStyle w:val="ListParagraph"/>
        <w:spacing w:before="40" w:after="40" w:line="240" w:lineRule="auto"/>
        <w:ind w:left="992"/>
        <w:contextualSpacing w:val="0"/>
        <w:jc w:val="both"/>
        <w:rPr>
          <w:szCs w:val="23"/>
        </w:rPr>
      </w:pPr>
      <w:r>
        <w:rPr>
          <w:szCs w:val="23"/>
        </w:rPr>
        <w:t xml:space="preserve">d) </w:t>
      </w:r>
      <w:r>
        <w:rPr>
          <w:szCs w:val="23"/>
        </w:rPr>
        <w:tab/>
        <w:t xml:space="preserve">Number of working time units worked for BEST 2.0 project. </w:t>
      </w:r>
    </w:p>
    <w:p w:rsidR="00CD40E0" w:rsidRDefault="00C214A5" w:rsidP="00B20BC6">
      <w:pPr>
        <w:pStyle w:val="ListParagraph"/>
        <w:spacing w:before="40" w:after="40" w:line="240" w:lineRule="auto"/>
        <w:ind w:left="992"/>
        <w:contextualSpacing w:val="0"/>
        <w:jc w:val="both"/>
        <w:rPr>
          <w:szCs w:val="23"/>
        </w:rPr>
      </w:pPr>
      <w:r>
        <w:rPr>
          <w:szCs w:val="23"/>
        </w:rPr>
        <w:t xml:space="preserve">e) </w:t>
      </w:r>
      <w:r>
        <w:rPr>
          <w:szCs w:val="23"/>
        </w:rPr>
        <w:tab/>
        <w:t xml:space="preserve">Number of working time units worked for other projects. </w:t>
      </w:r>
    </w:p>
    <w:p w:rsidR="00CD40E0" w:rsidRDefault="00C214A5" w:rsidP="00B20BC6">
      <w:pPr>
        <w:pStyle w:val="ListParagraph"/>
        <w:spacing w:before="40" w:after="40" w:line="240" w:lineRule="auto"/>
        <w:ind w:left="992"/>
        <w:contextualSpacing w:val="0"/>
        <w:jc w:val="both"/>
        <w:rPr>
          <w:szCs w:val="23"/>
        </w:rPr>
      </w:pPr>
      <w:r>
        <w:rPr>
          <w:szCs w:val="23"/>
        </w:rPr>
        <w:t xml:space="preserve">f) </w:t>
      </w:r>
      <w:r>
        <w:rPr>
          <w:szCs w:val="23"/>
        </w:rPr>
        <w:tab/>
        <w:t xml:space="preserve">Number of working time units worked in total. </w:t>
      </w:r>
    </w:p>
    <w:p w:rsidR="00CD40E0" w:rsidRDefault="00C214A5" w:rsidP="00B20BC6">
      <w:pPr>
        <w:pStyle w:val="ListParagraph"/>
        <w:spacing w:before="40" w:after="40" w:line="240" w:lineRule="auto"/>
        <w:ind w:left="992"/>
        <w:contextualSpacing w:val="0"/>
        <w:jc w:val="both"/>
        <w:rPr>
          <w:szCs w:val="23"/>
        </w:rPr>
      </w:pPr>
      <w:r>
        <w:rPr>
          <w:szCs w:val="23"/>
        </w:rPr>
        <w:t xml:space="preserve">g) </w:t>
      </w:r>
      <w:r>
        <w:rPr>
          <w:szCs w:val="23"/>
        </w:rPr>
        <w:tab/>
        <w:t xml:space="preserve">Date and signature of the employee. </w:t>
      </w:r>
    </w:p>
    <w:p w:rsidR="00CD40E0" w:rsidRDefault="00C214A5" w:rsidP="00B20BC6">
      <w:pPr>
        <w:pStyle w:val="ListParagraph"/>
        <w:spacing w:before="40" w:after="40" w:line="240" w:lineRule="auto"/>
        <w:ind w:left="992"/>
        <w:contextualSpacing w:val="0"/>
        <w:jc w:val="both"/>
        <w:rPr>
          <w:szCs w:val="23"/>
        </w:rPr>
      </w:pPr>
      <w:r>
        <w:rPr>
          <w:szCs w:val="23"/>
        </w:rPr>
        <w:t xml:space="preserve">h) </w:t>
      </w:r>
      <w:r>
        <w:rPr>
          <w:szCs w:val="23"/>
        </w:rPr>
        <w:tab/>
        <w:t xml:space="preserve">Date and signature of the supervisor. </w:t>
      </w:r>
    </w:p>
    <w:p w:rsidR="00CD40E0" w:rsidRDefault="00CD40E0">
      <w:pPr>
        <w:pStyle w:val="ListParagraph"/>
        <w:spacing w:after="0" w:line="240" w:lineRule="auto"/>
        <w:ind w:left="567"/>
        <w:jc w:val="both"/>
        <w:rPr>
          <w:szCs w:val="23"/>
        </w:rPr>
      </w:pPr>
    </w:p>
    <w:p w:rsidR="00CD40E0" w:rsidRDefault="00C214A5">
      <w:pPr>
        <w:pStyle w:val="ListParagraph"/>
        <w:spacing w:after="0" w:line="240" w:lineRule="auto"/>
        <w:ind w:left="567"/>
        <w:jc w:val="both"/>
        <w:rPr>
          <w:szCs w:val="23"/>
        </w:rPr>
      </w:pPr>
      <w:r>
        <w:rPr>
          <w:szCs w:val="23"/>
        </w:rPr>
        <w:t xml:space="preserve">The completed timesheet for a given month </w:t>
      </w:r>
      <w:r w:rsidR="00B20BC6">
        <w:rPr>
          <w:szCs w:val="23"/>
        </w:rPr>
        <w:t>must</w:t>
      </w:r>
      <w:r>
        <w:rPr>
          <w:szCs w:val="23"/>
        </w:rPr>
        <w:t xml:space="preserve"> be signed by the individual and approved by the individuals’ supervisor in a timely manner – e.g. during the first week of the following month. </w:t>
      </w:r>
    </w:p>
    <w:p w:rsidR="00CD40E0" w:rsidRDefault="00CD40E0">
      <w:pPr>
        <w:pStyle w:val="ListParagraph"/>
        <w:spacing w:after="0" w:line="240" w:lineRule="auto"/>
        <w:ind w:left="567"/>
        <w:jc w:val="both"/>
        <w:rPr>
          <w:szCs w:val="23"/>
        </w:rPr>
      </w:pPr>
    </w:p>
    <w:p w:rsidR="00CD40E0" w:rsidRDefault="00C214A5">
      <w:pPr>
        <w:pStyle w:val="ListParagraph"/>
        <w:spacing w:after="0" w:line="240" w:lineRule="auto"/>
        <w:ind w:left="567"/>
        <w:jc w:val="both"/>
        <w:rPr>
          <w:szCs w:val="23"/>
        </w:rPr>
      </w:pPr>
      <w:r>
        <w:rPr>
          <w:szCs w:val="23"/>
        </w:rPr>
        <w:t xml:space="preserve">The timesheet provides an audit trail - a daily work record can be cross checked with other time records (holidays, travel, sickness, meetings etc.) as reflected in HR databases and/or payslips. </w:t>
      </w:r>
      <w:r w:rsidR="004C6752">
        <w:rPr>
          <w:b/>
          <w:szCs w:val="23"/>
          <w:u w:val="single"/>
        </w:rPr>
        <w:t>The</w:t>
      </w:r>
      <w:r w:rsidR="004C6752" w:rsidRPr="004C6752">
        <w:rPr>
          <w:b/>
          <w:szCs w:val="23"/>
          <w:u w:val="single"/>
        </w:rPr>
        <w:t xml:space="preserve"> accuracy</w:t>
      </w:r>
      <w:r w:rsidR="004C6752">
        <w:rPr>
          <w:b/>
          <w:szCs w:val="23"/>
          <w:u w:val="single"/>
        </w:rPr>
        <w:t xml:space="preserve"> of timesheets </w:t>
      </w:r>
      <w:r w:rsidR="004C6752" w:rsidRPr="004C6752">
        <w:rPr>
          <w:b/>
          <w:szCs w:val="23"/>
          <w:u w:val="single"/>
        </w:rPr>
        <w:t>is</w:t>
      </w:r>
      <w:r w:rsidR="004C6752">
        <w:rPr>
          <w:b/>
          <w:szCs w:val="23"/>
          <w:u w:val="single"/>
        </w:rPr>
        <w:t xml:space="preserve"> therefore</w:t>
      </w:r>
      <w:r w:rsidR="004C6752" w:rsidRPr="004C6752">
        <w:rPr>
          <w:b/>
          <w:szCs w:val="23"/>
          <w:u w:val="single"/>
        </w:rPr>
        <w:t xml:space="preserve"> very important.</w:t>
      </w:r>
    </w:p>
    <w:p w:rsidR="00CD40E0" w:rsidRDefault="00C214A5">
      <w:pPr>
        <w:pStyle w:val="Heading1"/>
        <w:numPr>
          <w:ilvl w:val="0"/>
          <w:numId w:val="4"/>
        </w:numPr>
        <w:ind w:left="851" w:hanging="851"/>
      </w:pPr>
      <w:r>
        <w:t>Costs - Eligibility criteria</w:t>
      </w:r>
    </w:p>
    <w:p w:rsidR="00CD40E0" w:rsidRDefault="00C214A5">
      <w:pPr>
        <w:spacing w:after="0" w:line="240" w:lineRule="auto"/>
        <w:ind w:left="567"/>
        <w:jc w:val="both"/>
        <w:rPr>
          <w:szCs w:val="23"/>
        </w:rPr>
      </w:pPr>
      <w:r>
        <w:rPr>
          <w:rFonts w:cs="Arial"/>
        </w:rPr>
        <w:t xml:space="preserve">Eligible costs are </w:t>
      </w:r>
      <w:r w:rsidRPr="004C6752">
        <w:rPr>
          <w:rFonts w:cs="Arial"/>
          <w:b/>
          <w:u w:val="single"/>
        </w:rPr>
        <w:t>actual costs incurred by the Grantee(s)</w:t>
      </w:r>
      <w:r>
        <w:rPr>
          <w:rFonts w:cs="Arial"/>
        </w:rPr>
        <w:t xml:space="preserve"> which meet all the following criteria (see </w:t>
      </w:r>
      <w:r w:rsidRPr="004C6752">
        <w:rPr>
          <w:rFonts w:cs="Arial"/>
          <w:u w:val="single"/>
        </w:rPr>
        <w:t>Article 13 of the General Conditions to your grant agreement</w:t>
      </w:r>
      <w:r>
        <w:rPr>
          <w:rFonts w:cs="Arial"/>
        </w:rPr>
        <w:t>):</w:t>
      </w:r>
    </w:p>
    <w:p w:rsidR="00CD40E0" w:rsidRDefault="00C214A5">
      <w:pPr>
        <w:pStyle w:val="ListParagraph"/>
        <w:spacing w:before="60" w:after="60" w:line="240" w:lineRule="auto"/>
        <w:ind w:left="1418" w:hanging="425"/>
        <w:contextualSpacing w:val="0"/>
        <w:jc w:val="both"/>
        <w:rPr>
          <w:szCs w:val="23"/>
        </w:rPr>
      </w:pPr>
      <w:r>
        <w:rPr>
          <w:szCs w:val="23"/>
        </w:rPr>
        <w:lastRenderedPageBreak/>
        <w:t xml:space="preserve">a) </w:t>
      </w:r>
      <w:r>
        <w:rPr>
          <w:szCs w:val="23"/>
        </w:rPr>
        <w:tab/>
        <w:t xml:space="preserve">They are incurred during the implementation period of the Project as specified in </w:t>
      </w:r>
      <w:r w:rsidRPr="004C6752">
        <w:rPr>
          <w:b/>
          <w:szCs w:val="23"/>
        </w:rPr>
        <w:t xml:space="preserve">Article 3 </w:t>
      </w:r>
      <w:r w:rsidR="004C6752">
        <w:rPr>
          <w:b/>
          <w:szCs w:val="23"/>
        </w:rPr>
        <w:t xml:space="preserve">“Term” </w:t>
      </w:r>
      <w:r w:rsidRPr="004C6752">
        <w:rPr>
          <w:b/>
          <w:szCs w:val="23"/>
        </w:rPr>
        <w:t>of the Special Conditions</w:t>
      </w:r>
      <w:r w:rsidR="0027077B">
        <w:rPr>
          <w:szCs w:val="23"/>
        </w:rPr>
        <w:t xml:space="preserve"> of the grant agreement</w:t>
      </w:r>
      <w:r>
        <w:rPr>
          <w:szCs w:val="23"/>
        </w:rPr>
        <w:t xml:space="preserve">. In particular: </w:t>
      </w:r>
    </w:p>
    <w:p w:rsidR="00CD40E0" w:rsidRDefault="00C214A5">
      <w:pPr>
        <w:pStyle w:val="ListParagraph"/>
        <w:spacing w:before="60" w:after="60" w:line="240" w:lineRule="auto"/>
        <w:ind w:left="2127" w:hanging="567"/>
        <w:contextualSpacing w:val="0"/>
        <w:jc w:val="both"/>
        <w:rPr>
          <w:szCs w:val="23"/>
        </w:rPr>
      </w:pPr>
      <w:r>
        <w:rPr>
          <w:szCs w:val="23"/>
        </w:rPr>
        <w:t xml:space="preserve">(i) </w:t>
      </w:r>
      <w:r>
        <w:rPr>
          <w:szCs w:val="23"/>
        </w:rPr>
        <w:tab/>
        <w:t>Costs relating to services and works shall relate to activities performed during the implementation period.</w:t>
      </w:r>
    </w:p>
    <w:p w:rsidR="00CD40E0" w:rsidRDefault="00C214A5">
      <w:pPr>
        <w:pStyle w:val="ListParagraph"/>
        <w:spacing w:before="60" w:after="60" w:line="240" w:lineRule="auto"/>
        <w:ind w:left="2127" w:hanging="567"/>
        <w:contextualSpacing w:val="0"/>
        <w:jc w:val="both"/>
        <w:rPr>
          <w:szCs w:val="23"/>
        </w:rPr>
      </w:pPr>
      <w:r>
        <w:rPr>
          <w:szCs w:val="23"/>
        </w:rPr>
        <w:t xml:space="preserve">(ii) </w:t>
      </w:r>
      <w:r>
        <w:rPr>
          <w:szCs w:val="23"/>
        </w:rPr>
        <w:tab/>
        <w:t>Costs incurred should be paid before the submission of the final reports. They may be paid afterwards, provided they are listed in the final report together with the estimated date of payment;</w:t>
      </w:r>
    </w:p>
    <w:p w:rsidR="004C6752" w:rsidRDefault="004C6752">
      <w:pPr>
        <w:pStyle w:val="ListParagraph"/>
        <w:spacing w:before="60" w:after="60" w:line="240" w:lineRule="auto"/>
        <w:ind w:left="2127" w:hanging="567"/>
        <w:contextualSpacing w:val="0"/>
        <w:jc w:val="both"/>
        <w:rPr>
          <w:szCs w:val="23"/>
        </w:rPr>
      </w:pPr>
      <w:r>
        <w:rPr>
          <w:rFonts w:cs="Arial"/>
        </w:rPr>
        <w:t xml:space="preserve">(iv) </w:t>
      </w:r>
      <w:r>
        <w:rPr>
          <w:rFonts w:cs="Arial"/>
        </w:rPr>
        <w:tab/>
      </w:r>
      <w:r w:rsidRPr="00296BBD">
        <w:rPr>
          <w:rFonts w:cs="Arial"/>
        </w:rPr>
        <w:t>Procedures to award contracts, as referred to in Article 9, may have been initiated and contracts may be concluded by the Grantee(s) before the start of the implementation period of the Project, provided the provisions of Attachment 3 have been respected.</w:t>
      </w:r>
    </w:p>
    <w:p w:rsidR="00CD40E0" w:rsidRDefault="00C214A5">
      <w:pPr>
        <w:pStyle w:val="ListParagraph"/>
        <w:spacing w:before="60" w:after="60" w:line="240" w:lineRule="auto"/>
        <w:ind w:left="1418" w:hanging="425"/>
        <w:contextualSpacing w:val="0"/>
        <w:jc w:val="both"/>
        <w:rPr>
          <w:szCs w:val="23"/>
        </w:rPr>
      </w:pPr>
      <w:r>
        <w:rPr>
          <w:szCs w:val="23"/>
        </w:rPr>
        <w:t xml:space="preserve">b) </w:t>
      </w:r>
      <w:r>
        <w:rPr>
          <w:szCs w:val="23"/>
        </w:rPr>
        <w:tab/>
        <w:t xml:space="preserve">Costs are indicated in the estimated overall budget for the Project; </w:t>
      </w:r>
    </w:p>
    <w:p w:rsidR="00CD40E0" w:rsidRDefault="00C214A5">
      <w:pPr>
        <w:pStyle w:val="ListParagraph"/>
        <w:spacing w:before="60" w:after="60" w:line="240" w:lineRule="auto"/>
        <w:ind w:left="1418" w:hanging="425"/>
        <w:contextualSpacing w:val="0"/>
        <w:jc w:val="both"/>
        <w:rPr>
          <w:szCs w:val="23"/>
        </w:rPr>
      </w:pPr>
      <w:r>
        <w:rPr>
          <w:szCs w:val="23"/>
        </w:rPr>
        <w:t xml:space="preserve">c) </w:t>
      </w:r>
      <w:r>
        <w:rPr>
          <w:szCs w:val="23"/>
        </w:rPr>
        <w:tab/>
        <w:t xml:space="preserve">Costs are necessary for the implementation of the Project; </w:t>
      </w:r>
    </w:p>
    <w:p w:rsidR="00CD40E0" w:rsidRDefault="00C214A5">
      <w:pPr>
        <w:pStyle w:val="ListParagraph"/>
        <w:spacing w:before="60" w:after="60" w:line="240" w:lineRule="auto"/>
        <w:ind w:left="1418" w:hanging="425"/>
        <w:contextualSpacing w:val="0"/>
        <w:jc w:val="both"/>
        <w:rPr>
          <w:szCs w:val="23"/>
        </w:rPr>
      </w:pPr>
      <w:r>
        <w:rPr>
          <w:szCs w:val="23"/>
        </w:rPr>
        <w:t xml:space="preserve">d) </w:t>
      </w:r>
      <w:r>
        <w:rPr>
          <w:szCs w:val="23"/>
        </w:rPr>
        <w:tab/>
        <w:t xml:space="preserve">Costs are identifiable and verifiable, in particular being recorded in the accounting records and determined according to the accounting standards and the usual cost accounting practices applicable; </w:t>
      </w:r>
    </w:p>
    <w:p w:rsidR="00CD40E0" w:rsidRDefault="00C214A5">
      <w:pPr>
        <w:pStyle w:val="ListParagraph"/>
        <w:spacing w:before="60" w:after="60" w:line="240" w:lineRule="auto"/>
        <w:ind w:left="1418" w:hanging="425"/>
        <w:contextualSpacing w:val="0"/>
        <w:jc w:val="both"/>
        <w:rPr>
          <w:szCs w:val="23"/>
        </w:rPr>
      </w:pPr>
      <w:r>
        <w:rPr>
          <w:szCs w:val="23"/>
        </w:rPr>
        <w:t xml:space="preserve">e) </w:t>
      </w:r>
      <w:r>
        <w:rPr>
          <w:szCs w:val="23"/>
        </w:rPr>
        <w:tab/>
        <w:t xml:space="preserve">Costs comply with the requirements of applicable tax and social legislation; </w:t>
      </w:r>
    </w:p>
    <w:p w:rsidR="00CD40E0" w:rsidRDefault="00C214A5">
      <w:pPr>
        <w:pStyle w:val="ListParagraph"/>
        <w:spacing w:before="60" w:after="60" w:line="240" w:lineRule="auto"/>
        <w:ind w:left="1418" w:hanging="425"/>
        <w:contextualSpacing w:val="0"/>
        <w:jc w:val="both"/>
        <w:rPr>
          <w:szCs w:val="23"/>
        </w:rPr>
      </w:pPr>
      <w:r>
        <w:rPr>
          <w:szCs w:val="23"/>
        </w:rPr>
        <w:t xml:space="preserve">f) </w:t>
      </w:r>
      <w:r>
        <w:rPr>
          <w:szCs w:val="23"/>
        </w:rPr>
        <w:tab/>
        <w:t>Costs are reasonable, justified and comply with the requirements of sound financial management, in particular regarding economy and efficiency.</w:t>
      </w:r>
    </w:p>
    <w:p w:rsidR="00CD40E0" w:rsidRDefault="00C214A5">
      <w:pPr>
        <w:pStyle w:val="Heading1"/>
        <w:numPr>
          <w:ilvl w:val="0"/>
          <w:numId w:val="4"/>
        </w:numPr>
        <w:ind w:left="851" w:hanging="851"/>
      </w:pPr>
      <w:r>
        <w:t>Ineligible costs</w:t>
      </w:r>
    </w:p>
    <w:p w:rsidR="00CD40E0" w:rsidRDefault="00C214A5">
      <w:pPr>
        <w:pStyle w:val="Default"/>
        <w:numPr>
          <w:ilvl w:val="0"/>
          <w:numId w:val="3"/>
        </w:numPr>
        <w:spacing w:before="60" w:after="60"/>
        <w:ind w:left="1417" w:hanging="425"/>
        <w:jc w:val="both"/>
        <w:rPr>
          <w:rFonts w:asciiTheme="minorHAnsi" w:hAnsiTheme="minorHAnsi"/>
          <w:sz w:val="22"/>
          <w:szCs w:val="22"/>
        </w:rPr>
      </w:pPr>
      <w:r>
        <w:rPr>
          <w:rFonts w:asciiTheme="minorHAnsi" w:hAnsiTheme="minorHAnsi"/>
          <w:sz w:val="22"/>
          <w:szCs w:val="22"/>
        </w:rPr>
        <w:t xml:space="preserve">debts and debt service charges (interest); </w:t>
      </w:r>
    </w:p>
    <w:p w:rsidR="00CD40E0" w:rsidRDefault="00C214A5">
      <w:pPr>
        <w:pStyle w:val="Default"/>
        <w:numPr>
          <w:ilvl w:val="0"/>
          <w:numId w:val="3"/>
        </w:numPr>
        <w:spacing w:before="60" w:after="60"/>
        <w:ind w:left="1417" w:hanging="425"/>
        <w:jc w:val="both"/>
        <w:rPr>
          <w:rFonts w:asciiTheme="minorHAnsi" w:hAnsiTheme="minorHAnsi"/>
          <w:sz w:val="22"/>
          <w:szCs w:val="22"/>
        </w:rPr>
      </w:pPr>
      <w:r>
        <w:rPr>
          <w:rFonts w:asciiTheme="minorHAnsi" w:hAnsiTheme="minorHAnsi"/>
          <w:sz w:val="22"/>
          <w:szCs w:val="22"/>
        </w:rPr>
        <w:t xml:space="preserve">provisions for losses or potential future liabilities; </w:t>
      </w:r>
    </w:p>
    <w:p w:rsidR="00CD40E0" w:rsidRDefault="00C214A5">
      <w:pPr>
        <w:pStyle w:val="Default"/>
        <w:numPr>
          <w:ilvl w:val="0"/>
          <w:numId w:val="3"/>
        </w:numPr>
        <w:spacing w:before="60" w:after="60"/>
        <w:ind w:left="1417" w:hanging="425"/>
        <w:jc w:val="both"/>
        <w:rPr>
          <w:rFonts w:asciiTheme="minorHAnsi" w:hAnsiTheme="minorHAnsi"/>
          <w:sz w:val="22"/>
          <w:szCs w:val="22"/>
        </w:rPr>
      </w:pPr>
      <w:r>
        <w:rPr>
          <w:rFonts w:asciiTheme="minorHAnsi" w:hAnsiTheme="minorHAnsi"/>
          <w:sz w:val="22"/>
          <w:szCs w:val="22"/>
        </w:rPr>
        <w:t xml:space="preserve">costs declared by the Beneficiary(ies) and financed by another action or work programme receiving a European Union grant (including through the European Development Fund); </w:t>
      </w:r>
    </w:p>
    <w:p w:rsidR="00CD40E0" w:rsidRDefault="00C214A5">
      <w:pPr>
        <w:pStyle w:val="Default"/>
        <w:numPr>
          <w:ilvl w:val="0"/>
          <w:numId w:val="3"/>
        </w:numPr>
        <w:spacing w:before="60" w:after="60"/>
        <w:ind w:left="1417" w:hanging="425"/>
        <w:jc w:val="both"/>
        <w:rPr>
          <w:rFonts w:asciiTheme="minorHAnsi" w:hAnsiTheme="minorHAnsi"/>
          <w:sz w:val="22"/>
          <w:szCs w:val="22"/>
        </w:rPr>
      </w:pPr>
      <w:r>
        <w:rPr>
          <w:rFonts w:asciiTheme="minorHAnsi" w:hAnsiTheme="minorHAnsi"/>
          <w:sz w:val="22"/>
          <w:szCs w:val="22"/>
        </w:rPr>
        <w:t xml:space="preserve">currency exchange losses; </w:t>
      </w:r>
      <w:r>
        <w:rPr>
          <w:rFonts w:asciiTheme="minorHAnsi" w:hAnsiTheme="minorHAnsi"/>
          <w:sz w:val="22"/>
        </w:rPr>
        <w:t xml:space="preserve">exchange rate losses are not eligible costs and will not be compensated. It is confirmed that just as exchange rate losses are not eligible costs, exchange rate gains are not considered as revenue and will not be deducted in the final liquidation process and do not have to be reported for. These rules also apply for the gains/losses resulting from currency conversion at the reporting stage and those resulting from conversion between accounting currency and other currencies. </w:t>
      </w:r>
    </w:p>
    <w:p w:rsidR="00CD40E0" w:rsidRDefault="00C214A5">
      <w:pPr>
        <w:pStyle w:val="ListParagraph"/>
        <w:numPr>
          <w:ilvl w:val="0"/>
          <w:numId w:val="3"/>
        </w:numPr>
        <w:spacing w:before="60" w:after="60" w:line="240" w:lineRule="auto"/>
        <w:ind w:left="1417" w:hanging="425"/>
        <w:jc w:val="both"/>
      </w:pPr>
      <w:r>
        <w:t>credits to third parties;</w:t>
      </w:r>
    </w:p>
    <w:p w:rsidR="00CD40E0" w:rsidRDefault="00C214A5">
      <w:pPr>
        <w:pStyle w:val="Default"/>
        <w:numPr>
          <w:ilvl w:val="0"/>
          <w:numId w:val="3"/>
        </w:numPr>
        <w:spacing w:before="60" w:after="60"/>
        <w:ind w:left="1417" w:hanging="425"/>
        <w:jc w:val="both"/>
        <w:rPr>
          <w:rFonts w:asciiTheme="minorHAnsi" w:hAnsiTheme="minorHAnsi"/>
          <w:sz w:val="22"/>
          <w:szCs w:val="22"/>
        </w:rPr>
      </w:pPr>
      <w:r>
        <w:rPr>
          <w:rFonts w:asciiTheme="minorHAnsi" w:hAnsiTheme="minorHAnsi"/>
          <w:sz w:val="22"/>
          <w:szCs w:val="22"/>
        </w:rPr>
        <w:t xml:space="preserve">contributions in kind, including contributions from third parties including voluntary work; </w:t>
      </w:r>
    </w:p>
    <w:p w:rsidR="00CD40E0" w:rsidRDefault="00C214A5">
      <w:pPr>
        <w:pStyle w:val="Default"/>
        <w:numPr>
          <w:ilvl w:val="0"/>
          <w:numId w:val="3"/>
        </w:numPr>
        <w:spacing w:before="60" w:after="60"/>
        <w:ind w:left="1417" w:hanging="425"/>
        <w:jc w:val="both"/>
        <w:rPr>
          <w:rFonts w:asciiTheme="minorHAnsi" w:hAnsiTheme="minorHAnsi"/>
          <w:sz w:val="22"/>
          <w:szCs w:val="22"/>
        </w:rPr>
      </w:pPr>
      <w:r>
        <w:rPr>
          <w:rFonts w:asciiTheme="minorHAnsi" w:hAnsiTheme="minorHAnsi"/>
          <w:sz w:val="22"/>
          <w:szCs w:val="22"/>
        </w:rPr>
        <w:t xml:space="preserve">excessive or reckless expenditure (including unnecessary or wasteful outlays); </w:t>
      </w:r>
    </w:p>
    <w:p w:rsidR="00CD40E0" w:rsidRDefault="00C214A5">
      <w:pPr>
        <w:pStyle w:val="Default"/>
        <w:numPr>
          <w:ilvl w:val="0"/>
          <w:numId w:val="3"/>
        </w:numPr>
        <w:spacing w:before="60" w:after="60"/>
        <w:ind w:left="1417" w:hanging="425"/>
        <w:jc w:val="both"/>
        <w:rPr>
          <w:rFonts w:asciiTheme="minorHAnsi" w:hAnsiTheme="minorHAnsi"/>
          <w:sz w:val="22"/>
          <w:szCs w:val="22"/>
        </w:rPr>
      </w:pPr>
      <w:r>
        <w:rPr>
          <w:rFonts w:asciiTheme="minorHAnsi" w:hAnsiTheme="minorHAnsi"/>
          <w:sz w:val="22"/>
          <w:szCs w:val="22"/>
        </w:rPr>
        <w:t xml:space="preserve">costs related to the proposal preparation or to the review phase; </w:t>
      </w:r>
    </w:p>
    <w:p w:rsidR="00CD40E0" w:rsidRDefault="00C214A5">
      <w:pPr>
        <w:pStyle w:val="Default"/>
        <w:numPr>
          <w:ilvl w:val="0"/>
          <w:numId w:val="3"/>
        </w:numPr>
        <w:spacing w:before="60" w:after="60"/>
        <w:ind w:left="1417" w:hanging="425"/>
        <w:jc w:val="both"/>
        <w:rPr>
          <w:rFonts w:asciiTheme="minorHAnsi" w:hAnsiTheme="minorHAnsi"/>
          <w:sz w:val="22"/>
          <w:szCs w:val="22"/>
        </w:rPr>
      </w:pPr>
      <w:r>
        <w:rPr>
          <w:rFonts w:asciiTheme="minorHAnsi" w:hAnsiTheme="minorHAnsi"/>
          <w:sz w:val="22"/>
          <w:szCs w:val="22"/>
        </w:rPr>
        <w:t>recoverable VAT</w:t>
      </w:r>
    </w:p>
    <w:p w:rsidR="00CD40E0" w:rsidRDefault="00CD40E0">
      <w:pPr>
        <w:spacing w:after="0" w:line="240" w:lineRule="auto"/>
        <w:ind w:left="567"/>
        <w:jc w:val="both"/>
        <w:rPr>
          <w:szCs w:val="23"/>
        </w:rPr>
      </w:pPr>
    </w:p>
    <w:p w:rsidR="00CD40E0" w:rsidRDefault="00C214A5">
      <w:pPr>
        <w:spacing w:after="0" w:line="240" w:lineRule="auto"/>
        <w:ind w:left="567"/>
        <w:jc w:val="both"/>
        <w:rPr>
          <w:szCs w:val="23"/>
        </w:rPr>
      </w:pPr>
      <w:r>
        <w:rPr>
          <w:szCs w:val="23"/>
        </w:rPr>
        <w:t>In order to claim VAT, the beneficiary must provide a declaration from the national tax authorities certifying that the beneficiary in question is NOT able to recover VAT (fully or partially). This declaration should be kept in the project file. In case the national tax authorities do not deliver such a certificate, the audit report can certify that VAT is not recoverable. Charging of VAT or taxes is a frequent source of cost ineligibility; therefore specific attention has to be paid to understanding the correct treatment of taxes.</w:t>
      </w:r>
    </w:p>
    <w:p w:rsidR="00CD40E0" w:rsidRDefault="00C214A5">
      <w:pPr>
        <w:pStyle w:val="Heading1"/>
        <w:numPr>
          <w:ilvl w:val="0"/>
          <w:numId w:val="4"/>
        </w:numPr>
        <w:ind w:left="851" w:hanging="851"/>
      </w:pPr>
      <w:r>
        <w:lastRenderedPageBreak/>
        <w:t>Direct and indirect costs</w:t>
      </w:r>
    </w:p>
    <w:p w:rsidR="00CD40E0" w:rsidRDefault="00C214A5">
      <w:pPr>
        <w:pStyle w:val="ListParagraph"/>
        <w:numPr>
          <w:ilvl w:val="1"/>
          <w:numId w:val="1"/>
        </w:numPr>
        <w:spacing w:after="0" w:line="240" w:lineRule="auto"/>
        <w:ind w:hanging="447"/>
        <w:jc w:val="both"/>
        <w:rPr>
          <w:b/>
          <w:bCs/>
          <w:sz w:val="23"/>
          <w:szCs w:val="23"/>
        </w:rPr>
      </w:pPr>
      <w:r w:rsidRPr="00831412">
        <w:rPr>
          <w:rFonts w:cs="Times New Roman"/>
          <w:b/>
          <w:color w:val="000000"/>
        </w:rPr>
        <w:t>Direct eligible costs</w:t>
      </w:r>
      <w:r w:rsidR="00831412">
        <w:rPr>
          <w:rFonts w:cs="Times New Roman"/>
          <w:b/>
          <w:color w:val="000000"/>
        </w:rPr>
        <w:t>:</w:t>
      </w:r>
      <w:r>
        <w:rPr>
          <w:rFonts w:cs="Times New Roman"/>
          <w:color w:val="000000"/>
        </w:rPr>
        <w:t xml:space="preserve"> </w:t>
      </w:r>
      <w:r w:rsidR="00831412">
        <w:rPr>
          <w:rFonts w:cs="Times New Roman"/>
          <w:color w:val="000000"/>
        </w:rPr>
        <w:t xml:space="preserve">these </w:t>
      </w:r>
      <w:r>
        <w:rPr>
          <w:rFonts w:cs="Times New Roman"/>
          <w:color w:val="000000"/>
        </w:rPr>
        <w:t>are action-specific costs directly linked to the performance of the Project and which can therefore be booked to it directly. Direct costs are identifiable and verifiable costs, for which concrete supporting documents can be submitted as evidence. They are expenses strictly related to the implementation of the Project, and exist only as a consequence of its implementation.</w:t>
      </w:r>
    </w:p>
    <w:p w:rsidR="00CD40E0" w:rsidRDefault="00CD40E0">
      <w:pPr>
        <w:pStyle w:val="ListParagraph"/>
        <w:spacing w:after="0" w:line="240" w:lineRule="auto"/>
        <w:ind w:left="1440"/>
        <w:jc w:val="both"/>
        <w:rPr>
          <w:rFonts w:cs="Times New Roman"/>
          <w:color w:val="000000"/>
        </w:rPr>
      </w:pPr>
    </w:p>
    <w:p w:rsidR="00CD40E0" w:rsidRDefault="00C214A5">
      <w:pPr>
        <w:pStyle w:val="ListParagraph"/>
        <w:numPr>
          <w:ilvl w:val="1"/>
          <w:numId w:val="1"/>
        </w:numPr>
        <w:spacing w:after="0" w:line="240" w:lineRule="auto"/>
        <w:ind w:hanging="447"/>
        <w:jc w:val="both"/>
        <w:rPr>
          <w:rFonts w:cs="Times New Roman"/>
          <w:color w:val="000000"/>
        </w:rPr>
      </w:pPr>
      <w:r w:rsidRPr="00831412">
        <w:rPr>
          <w:rFonts w:cs="Times New Roman"/>
          <w:b/>
          <w:color w:val="000000"/>
        </w:rPr>
        <w:t>Indirect eligible costs:</w:t>
      </w:r>
      <w:r>
        <w:rPr>
          <w:rFonts w:cs="Times New Roman"/>
          <w:color w:val="000000"/>
        </w:rPr>
        <w:t xml:space="preserve"> these are not identifiable as specific costs directly linked to the performance of the Project. Indirect Costs may not include any eligible direct costs included in other headings of the budget. They mainly represent a small proportion of the overheads. Overheads are all the structural and support costs of an administrative, technical and logistical nature which are cross cutting for the operation of the organization’s various activities</w:t>
      </w:r>
    </w:p>
    <w:p w:rsidR="00CD40E0" w:rsidRDefault="00C214A5">
      <w:pPr>
        <w:pStyle w:val="Heading1"/>
        <w:numPr>
          <w:ilvl w:val="0"/>
          <w:numId w:val="4"/>
        </w:numPr>
        <w:ind w:left="851" w:hanging="851"/>
      </w:pPr>
      <w:r>
        <w:t>Costs categories</w:t>
      </w:r>
    </w:p>
    <w:p w:rsidR="00CD40E0" w:rsidRDefault="00C214A5">
      <w:pPr>
        <w:pStyle w:val="ListParagraph"/>
        <w:spacing w:after="0" w:line="240" w:lineRule="auto"/>
        <w:ind w:left="567"/>
        <w:rPr>
          <w:b/>
          <w:bCs/>
          <w:sz w:val="23"/>
          <w:szCs w:val="23"/>
        </w:rPr>
      </w:pPr>
      <w:r>
        <w:rPr>
          <w:b/>
          <w:bCs/>
          <w:sz w:val="23"/>
          <w:szCs w:val="23"/>
        </w:rPr>
        <w:t>VI.1. Personnel costs</w:t>
      </w:r>
    </w:p>
    <w:p w:rsidR="00CD40E0" w:rsidRDefault="00CD40E0">
      <w:pPr>
        <w:spacing w:after="0" w:line="240" w:lineRule="auto"/>
        <w:ind w:left="567"/>
        <w:jc w:val="both"/>
        <w:rPr>
          <w:rFonts w:cs="Times New Roman"/>
          <w:color w:val="000000"/>
        </w:rPr>
      </w:pPr>
    </w:p>
    <w:p w:rsidR="00CD40E0" w:rsidRDefault="00C214A5">
      <w:pPr>
        <w:spacing w:after="0" w:line="240" w:lineRule="auto"/>
        <w:ind w:left="567"/>
        <w:jc w:val="both"/>
        <w:rPr>
          <w:rFonts w:cs="Times New Roman"/>
          <w:color w:val="000000"/>
        </w:rPr>
      </w:pPr>
      <w:r>
        <w:rPr>
          <w:rFonts w:cs="Times New Roman"/>
          <w:color w:val="000000"/>
        </w:rPr>
        <w:t>Personnel costs can include gross salaries or wages in respect of the actual time devoted to the project, income taxes, social security etc., and other statutory costs included in the remuneration, provided they are standard Human Resources policy of the organization and can be proved by supporting documents.</w:t>
      </w:r>
    </w:p>
    <w:p w:rsidR="00CD40E0" w:rsidRDefault="00C214A5">
      <w:pPr>
        <w:spacing w:after="0" w:line="240" w:lineRule="auto"/>
        <w:ind w:left="567"/>
        <w:jc w:val="both"/>
        <w:rPr>
          <w:rFonts w:cs="Times New Roman"/>
          <w:color w:val="000000"/>
        </w:rPr>
      </w:pPr>
      <w:r>
        <w:rPr>
          <w:rFonts w:cs="Times New Roman"/>
          <w:color w:val="000000"/>
        </w:rPr>
        <w:t xml:space="preserve"> </w:t>
      </w:r>
    </w:p>
    <w:p w:rsidR="00CD40E0" w:rsidRDefault="00C214A5">
      <w:pPr>
        <w:spacing w:after="0" w:line="240" w:lineRule="auto"/>
        <w:ind w:left="567"/>
        <w:jc w:val="both"/>
        <w:rPr>
          <w:rFonts w:cs="Times New Roman"/>
          <w:color w:val="000000"/>
        </w:rPr>
      </w:pPr>
      <w:r>
        <w:rPr>
          <w:rFonts w:cs="Times New Roman"/>
          <w:color w:val="000000"/>
        </w:rPr>
        <w:t xml:space="preserve">For example, medical insurance, repatriation, relocation, visa costs, housing allowance, salary adjustments, other benefits etc. may only be eligible if they respect all applicable legislation, constitute a standard practice of the organization and are actually paid. </w:t>
      </w:r>
    </w:p>
    <w:p w:rsidR="00CD40E0" w:rsidRDefault="00CD40E0">
      <w:pPr>
        <w:spacing w:after="0" w:line="240" w:lineRule="auto"/>
        <w:ind w:left="567"/>
        <w:jc w:val="both"/>
        <w:rPr>
          <w:rFonts w:cs="Times New Roman"/>
          <w:color w:val="000000"/>
        </w:rPr>
      </w:pPr>
    </w:p>
    <w:p w:rsidR="00CD40E0" w:rsidRDefault="00C214A5">
      <w:pPr>
        <w:spacing w:after="0" w:line="240" w:lineRule="auto"/>
        <w:ind w:left="567"/>
        <w:jc w:val="both"/>
        <w:rPr>
          <w:rFonts w:cs="Times New Roman"/>
          <w:color w:val="000000"/>
        </w:rPr>
      </w:pPr>
      <w:r>
        <w:rPr>
          <w:rFonts w:cs="Times New Roman"/>
          <w:color w:val="000000"/>
        </w:rPr>
        <w:t>As a general rule "Provisions" are not considered as eligible.</w:t>
      </w:r>
    </w:p>
    <w:p w:rsidR="00CD40E0" w:rsidRDefault="00CD40E0">
      <w:pPr>
        <w:spacing w:after="0" w:line="240" w:lineRule="auto"/>
        <w:ind w:left="567"/>
        <w:jc w:val="both"/>
        <w:rPr>
          <w:rFonts w:cs="Times New Roman"/>
          <w:color w:val="000000"/>
        </w:rPr>
      </w:pPr>
    </w:p>
    <w:p w:rsidR="00CD40E0" w:rsidRDefault="00C214A5">
      <w:pPr>
        <w:spacing w:after="0" w:line="240" w:lineRule="auto"/>
        <w:ind w:left="567"/>
        <w:jc w:val="both"/>
        <w:rPr>
          <w:rFonts w:cs="Times New Roman"/>
          <w:color w:val="000000"/>
        </w:rPr>
      </w:pPr>
      <w:r>
        <w:rPr>
          <w:rFonts w:cs="Times New Roman"/>
          <w:color w:val="000000"/>
        </w:rPr>
        <w:t xml:space="preserve">Personnel should be traceable to supporting schedules (number and names of staff, part-time / full time indication), to payroll records (e.g. salary slips), and to Human Resources records (e.g. employment contracts). </w:t>
      </w:r>
    </w:p>
    <w:p w:rsidR="00CD40E0" w:rsidRDefault="00CD40E0">
      <w:pPr>
        <w:spacing w:after="0" w:line="240" w:lineRule="auto"/>
        <w:ind w:left="567"/>
        <w:jc w:val="both"/>
        <w:rPr>
          <w:rFonts w:cs="Times New Roman"/>
          <w:color w:val="000000"/>
        </w:rPr>
      </w:pPr>
    </w:p>
    <w:p w:rsidR="00CD40E0" w:rsidRDefault="00C214A5">
      <w:pPr>
        <w:spacing w:after="0" w:line="240" w:lineRule="auto"/>
        <w:ind w:left="567"/>
        <w:jc w:val="both"/>
        <w:rPr>
          <w:rFonts w:cs="Times New Roman"/>
          <w:color w:val="000000"/>
        </w:rPr>
      </w:pPr>
      <w:r>
        <w:rPr>
          <w:rFonts w:cs="Times New Roman"/>
          <w:color w:val="000000"/>
        </w:rPr>
        <w:t xml:space="preserve">A pro-rata system based on estimations </w:t>
      </w:r>
      <w:r>
        <w:rPr>
          <w:rFonts w:cs="Times New Roman"/>
          <w:color w:val="000000"/>
          <w:u w:val="single"/>
        </w:rPr>
        <w:t>cannot be used</w:t>
      </w:r>
      <w:r>
        <w:rPr>
          <w:rFonts w:cs="Times New Roman"/>
          <w:color w:val="000000"/>
        </w:rPr>
        <w:t xml:space="preserve"> to justify direct costs, since such a system would not represent real cost, only an estimation.</w:t>
      </w:r>
    </w:p>
    <w:p w:rsidR="00CD40E0" w:rsidRDefault="00CD40E0">
      <w:pPr>
        <w:spacing w:after="0" w:line="240" w:lineRule="auto"/>
        <w:ind w:left="567"/>
        <w:jc w:val="both"/>
        <w:rPr>
          <w:rFonts w:cs="Times New Roman"/>
          <w:color w:val="000000"/>
        </w:rPr>
      </w:pPr>
    </w:p>
    <w:p w:rsidR="00CD40E0" w:rsidRDefault="00C214A5">
      <w:pPr>
        <w:spacing w:after="0" w:line="240" w:lineRule="auto"/>
        <w:ind w:left="567"/>
        <w:jc w:val="both"/>
        <w:rPr>
          <w:rFonts w:cs="Times New Roman"/>
          <w:color w:val="000000"/>
        </w:rPr>
      </w:pPr>
      <w:r>
        <w:rPr>
          <w:rFonts w:cs="Times New Roman"/>
          <w:color w:val="000000"/>
        </w:rPr>
        <w:t>The staff cost tab in the transaction listing document should be completed to calculate the personnel costs for the project.</w:t>
      </w:r>
    </w:p>
    <w:p w:rsidR="00CD40E0" w:rsidRDefault="00CD40E0">
      <w:pPr>
        <w:pStyle w:val="ListParagraph"/>
        <w:spacing w:after="0" w:line="240" w:lineRule="auto"/>
        <w:ind w:left="1440"/>
        <w:jc w:val="both"/>
        <w:rPr>
          <w:b/>
          <w:bCs/>
          <w:sz w:val="23"/>
          <w:szCs w:val="23"/>
        </w:rPr>
      </w:pPr>
    </w:p>
    <w:p w:rsidR="00CD40E0" w:rsidRDefault="00C214A5">
      <w:pPr>
        <w:pStyle w:val="ListParagraph"/>
        <w:spacing w:after="0" w:line="240" w:lineRule="auto"/>
        <w:ind w:left="567"/>
        <w:jc w:val="both"/>
        <w:rPr>
          <w:b/>
          <w:bCs/>
          <w:sz w:val="23"/>
          <w:szCs w:val="23"/>
        </w:rPr>
      </w:pPr>
      <w:r>
        <w:rPr>
          <w:b/>
          <w:bCs/>
          <w:sz w:val="23"/>
          <w:szCs w:val="23"/>
        </w:rPr>
        <w:t>VI.2. Per diems</w:t>
      </w:r>
    </w:p>
    <w:p w:rsidR="00CD40E0" w:rsidRDefault="00CD40E0">
      <w:pPr>
        <w:spacing w:after="0" w:line="240" w:lineRule="auto"/>
        <w:ind w:left="567"/>
        <w:jc w:val="both"/>
        <w:rPr>
          <w:rFonts w:cs="Times New Roman"/>
          <w:color w:val="000000"/>
        </w:rPr>
      </w:pPr>
    </w:p>
    <w:p w:rsidR="00CD40E0" w:rsidRDefault="00C214A5">
      <w:pPr>
        <w:spacing w:after="0" w:line="240" w:lineRule="auto"/>
        <w:ind w:left="567"/>
        <w:jc w:val="both"/>
      </w:pPr>
      <w:r>
        <w:rPr>
          <w:rFonts w:cs="Times New Roman"/>
          <w:color w:val="000000"/>
        </w:rPr>
        <w:t>Per diem rates cover accommodation, meals, tips, local travel, and sundry expenses. The maximum number of per diems is fixed according to the number of nights spent on the event and not to the number of days.</w:t>
      </w:r>
    </w:p>
    <w:p w:rsidR="00CD40E0" w:rsidRDefault="00CD40E0">
      <w:pPr>
        <w:spacing w:after="0" w:line="240" w:lineRule="auto"/>
        <w:ind w:left="567"/>
        <w:jc w:val="both"/>
        <w:rPr>
          <w:rFonts w:cs="Times New Roman"/>
          <w:color w:val="000000"/>
        </w:rPr>
      </w:pPr>
    </w:p>
    <w:p w:rsidR="00CD40E0" w:rsidRDefault="00C214A5">
      <w:pPr>
        <w:spacing w:after="0" w:line="240" w:lineRule="auto"/>
        <w:ind w:left="567"/>
        <w:jc w:val="both"/>
        <w:rPr>
          <w:rFonts w:cs="Times New Roman"/>
          <w:color w:val="000000"/>
        </w:rPr>
      </w:pPr>
      <w:r>
        <w:rPr>
          <w:rFonts w:cs="Times New Roman"/>
          <w:color w:val="000000"/>
        </w:rPr>
        <w:t>Per diems should be traceable to supporting schedules (number and names of staff, number of times the per diem was paid, per diem rates and countries concerned) and the Beneficiary's records (accounting, payroll, Human Resources).</w:t>
      </w:r>
    </w:p>
    <w:p w:rsidR="00282891" w:rsidRDefault="00282891">
      <w:pPr>
        <w:spacing w:after="0" w:line="240" w:lineRule="auto"/>
        <w:ind w:left="567"/>
        <w:jc w:val="both"/>
        <w:rPr>
          <w:rFonts w:cs="Times New Roman"/>
          <w:color w:val="000000"/>
        </w:rPr>
      </w:pPr>
    </w:p>
    <w:p w:rsidR="00282891" w:rsidRDefault="00282891">
      <w:pPr>
        <w:spacing w:after="0" w:line="240" w:lineRule="auto"/>
        <w:ind w:left="567"/>
        <w:jc w:val="both"/>
        <w:rPr>
          <w:rFonts w:cs="Times New Roman"/>
          <w:color w:val="000000"/>
        </w:rPr>
      </w:pPr>
      <w:r>
        <w:rPr>
          <w:rFonts w:cs="Times New Roman"/>
          <w:color w:val="000000"/>
        </w:rPr>
        <w:t>If your organization does not have a travel policy with fixed per diems rates, you may use the rate of per diems accepted in your approved BEST 2.0 budget.</w:t>
      </w:r>
    </w:p>
    <w:p w:rsidR="00CD40E0" w:rsidRDefault="00CD40E0">
      <w:pPr>
        <w:spacing w:after="0" w:line="240" w:lineRule="auto"/>
        <w:ind w:left="567"/>
        <w:jc w:val="both"/>
        <w:rPr>
          <w:rFonts w:cs="Times New Roman"/>
          <w:color w:val="000000"/>
        </w:rPr>
      </w:pPr>
    </w:p>
    <w:p w:rsidR="00CD40E0" w:rsidRDefault="00C214A5">
      <w:pPr>
        <w:spacing w:after="0" w:line="240" w:lineRule="auto"/>
        <w:ind w:left="567"/>
        <w:jc w:val="both"/>
        <w:rPr>
          <w:rFonts w:cs="Times New Roman"/>
          <w:color w:val="000000"/>
        </w:rPr>
      </w:pPr>
      <w:r>
        <w:rPr>
          <w:rFonts w:cs="Times New Roman"/>
          <w:color w:val="000000"/>
        </w:rPr>
        <w:t xml:space="preserve">Reimbursement of actually incurred expenses can be used instead of a fixed per diem rate. All receipts and invoices are required if this option is chosen. </w:t>
      </w:r>
    </w:p>
    <w:p w:rsidR="004755CD" w:rsidRDefault="004755CD">
      <w:pPr>
        <w:spacing w:after="0" w:line="240" w:lineRule="auto"/>
        <w:ind w:left="567"/>
        <w:jc w:val="both"/>
        <w:rPr>
          <w:rFonts w:cs="Times New Roman"/>
          <w:color w:val="000000"/>
        </w:rPr>
      </w:pPr>
    </w:p>
    <w:p w:rsidR="004755CD" w:rsidRDefault="004755CD">
      <w:pPr>
        <w:spacing w:after="0" w:line="240" w:lineRule="auto"/>
        <w:ind w:left="567"/>
        <w:jc w:val="both"/>
        <w:rPr>
          <w:rFonts w:cs="Times New Roman"/>
          <w:color w:val="000000"/>
        </w:rPr>
      </w:pPr>
    </w:p>
    <w:p w:rsidR="004755CD" w:rsidRDefault="004755CD">
      <w:pPr>
        <w:spacing w:after="0" w:line="240" w:lineRule="auto"/>
        <w:ind w:left="567"/>
        <w:jc w:val="both"/>
        <w:rPr>
          <w:rFonts w:cs="Times New Roman"/>
          <w:color w:val="000000"/>
        </w:rPr>
      </w:pPr>
      <w:r w:rsidRPr="00831412">
        <w:rPr>
          <w:rFonts w:cs="Times New Roman"/>
          <w:b/>
          <w:i/>
          <w:color w:val="000000"/>
        </w:rPr>
        <w:t>Example 1.</w:t>
      </w:r>
      <w:r>
        <w:rPr>
          <w:rFonts w:cs="Times New Roman"/>
          <w:color w:val="000000"/>
        </w:rPr>
        <w:t xml:space="preserve"> The organization has a travel policy with fixed per diem rates.</w:t>
      </w:r>
    </w:p>
    <w:p w:rsidR="004755CD" w:rsidRDefault="004755CD">
      <w:pPr>
        <w:spacing w:after="0" w:line="240" w:lineRule="auto"/>
        <w:ind w:left="567"/>
        <w:jc w:val="both"/>
      </w:pPr>
      <w:r>
        <w:t xml:space="preserve">A project officer goes on a field mission to location A from 12/10 to 16/10, i.e. four nights. The travel policy of the organization sets up a per diem of 100€/night for location A. </w:t>
      </w:r>
      <w:r w:rsidR="003568E3">
        <w:t xml:space="preserve">Hence, the employee receives 400€ for the time spent on a </w:t>
      </w:r>
      <w:r w:rsidR="00841DEA">
        <w:t>mission.</w:t>
      </w:r>
    </w:p>
    <w:p w:rsidR="00831412" w:rsidRDefault="00831412">
      <w:pPr>
        <w:spacing w:after="0" w:line="240" w:lineRule="auto"/>
        <w:ind w:left="567"/>
        <w:jc w:val="both"/>
      </w:pPr>
    </w:p>
    <w:p w:rsidR="00831412" w:rsidRDefault="004755CD">
      <w:pPr>
        <w:spacing w:after="0" w:line="240" w:lineRule="auto"/>
        <w:ind w:left="567"/>
        <w:jc w:val="both"/>
      </w:pPr>
      <w:r>
        <w:t xml:space="preserve">In the </w:t>
      </w:r>
      <w:r w:rsidR="00422817">
        <w:t xml:space="preserve">financial </w:t>
      </w:r>
      <w:r>
        <w:t>report the per diems budget lines will show:</w:t>
      </w:r>
    </w:p>
    <w:p w:rsidR="004755CD" w:rsidRDefault="004755CD">
      <w:pPr>
        <w:spacing w:after="0" w:line="240" w:lineRule="auto"/>
        <w:ind w:left="567"/>
        <w:jc w:val="both"/>
      </w:pPr>
      <w:r>
        <w:t xml:space="preserve"> </w:t>
      </w:r>
    </w:p>
    <w:tbl>
      <w:tblPr>
        <w:tblStyle w:val="TableGrid"/>
        <w:tblW w:w="0" w:type="auto"/>
        <w:tblInd w:w="567" w:type="dxa"/>
        <w:tblLook w:val="04A0" w:firstRow="1" w:lastRow="0" w:firstColumn="1" w:lastColumn="0" w:noHBand="0" w:noVBand="1"/>
      </w:tblPr>
      <w:tblGrid>
        <w:gridCol w:w="2917"/>
        <w:gridCol w:w="2889"/>
        <w:gridCol w:w="2915"/>
      </w:tblGrid>
      <w:tr w:rsidR="004755CD" w:rsidTr="00831412">
        <w:tc>
          <w:tcPr>
            <w:tcW w:w="3088" w:type="dxa"/>
            <w:shd w:val="clear" w:color="auto" w:fill="D9D9D9" w:themeFill="background1" w:themeFillShade="D9"/>
          </w:tcPr>
          <w:p w:rsidR="004755CD" w:rsidRPr="00831412" w:rsidRDefault="004755CD" w:rsidP="00282891">
            <w:pPr>
              <w:spacing w:after="0" w:line="240" w:lineRule="auto"/>
              <w:jc w:val="center"/>
              <w:rPr>
                <w:b/>
              </w:rPr>
            </w:pPr>
            <w:r w:rsidRPr="00831412">
              <w:rPr>
                <w:b/>
              </w:rPr>
              <w:t>Number of units</w:t>
            </w:r>
          </w:p>
        </w:tc>
        <w:tc>
          <w:tcPr>
            <w:tcW w:w="3088" w:type="dxa"/>
            <w:shd w:val="clear" w:color="auto" w:fill="D9D9D9" w:themeFill="background1" w:themeFillShade="D9"/>
          </w:tcPr>
          <w:p w:rsidR="004755CD" w:rsidRPr="00831412" w:rsidRDefault="004755CD" w:rsidP="00282891">
            <w:pPr>
              <w:spacing w:after="0" w:line="240" w:lineRule="auto"/>
              <w:jc w:val="center"/>
              <w:rPr>
                <w:b/>
              </w:rPr>
            </w:pPr>
            <w:r w:rsidRPr="00831412">
              <w:rPr>
                <w:b/>
              </w:rPr>
              <w:t>Unit cost</w:t>
            </w:r>
          </w:p>
        </w:tc>
        <w:tc>
          <w:tcPr>
            <w:tcW w:w="3088" w:type="dxa"/>
            <w:shd w:val="clear" w:color="auto" w:fill="D9D9D9" w:themeFill="background1" w:themeFillShade="D9"/>
          </w:tcPr>
          <w:p w:rsidR="004755CD" w:rsidRPr="00831412" w:rsidRDefault="00841DEA" w:rsidP="00282891">
            <w:pPr>
              <w:spacing w:after="0" w:line="240" w:lineRule="auto"/>
              <w:jc w:val="center"/>
              <w:rPr>
                <w:b/>
              </w:rPr>
            </w:pPr>
            <w:r w:rsidRPr="00831412">
              <w:rPr>
                <w:b/>
              </w:rPr>
              <w:t>Total amount</w:t>
            </w:r>
          </w:p>
        </w:tc>
      </w:tr>
      <w:tr w:rsidR="004755CD" w:rsidTr="004755CD">
        <w:tc>
          <w:tcPr>
            <w:tcW w:w="3088" w:type="dxa"/>
          </w:tcPr>
          <w:p w:rsidR="004755CD" w:rsidRDefault="004755CD" w:rsidP="00282891">
            <w:pPr>
              <w:spacing w:after="0" w:line="240" w:lineRule="auto"/>
              <w:jc w:val="center"/>
            </w:pPr>
            <w:r>
              <w:t>4</w:t>
            </w:r>
          </w:p>
        </w:tc>
        <w:tc>
          <w:tcPr>
            <w:tcW w:w="3088" w:type="dxa"/>
          </w:tcPr>
          <w:p w:rsidR="004755CD" w:rsidRDefault="00841DEA" w:rsidP="00282891">
            <w:pPr>
              <w:spacing w:after="0" w:line="240" w:lineRule="auto"/>
              <w:jc w:val="center"/>
            </w:pPr>
            <w:r>
              <w:t>100</w:t>
            </w:r>
          </w:p>
        </w:tc>
        <w:tc>
          <w:tcPr>
            <w:tcW w:w="3088" w:type="dxa"/>
          </w:tcPr>
          <w:p w:rsidR="004755CD" w:rsidRDefault="00841DEA" w:rsidP="00282891">
            <w:pPr>
              <w:spacing w:after="0" w:line="240" w:lineRule="auto"/>
              <w:jc w:val="center"/>
            </w:pPr>
            <w:r>
              <w:t>400</w:t>
            </w:r>
          </w:p>
        </w:tc>
      </w:tr>
    </w:tbl>
    <w:p w:rsidR="004755CD" w:rsidRDefault="004755CD">
      <w:pPr>
        <w:spacing w:after="0" w:line="240" w:lineRule="auto"/>
        <w:ind w:left="567"/>
        <w:jc w:val="both"/>
      </w:pPr>
    </w:p>
    <w:p w:rsidR="00831412" w:rsidRDefault="00831412">
      <w:pPr>
        <w:spacing w:after="0" w:line="240" w:lineRule="auto"/>
        <w:ind w:left="567"/>
        <w:jc w:val="both"/>
      </w:pPr>
    </w:p>
    <w:p w:rsidR="00841DEA" w:rsidRDefault="00841DEA" w:rsidP="00831412">
      <w:pPr>
        <w:spacing w:after="0" w:line="240" w:lineRule="auto"/>
        <w:ind w:left="567"/>
        <w:jc w:val="both"/>
      </w:pPr>
      <w:r w:rsidRPr="00831412">
        <w:rPr>
          <w:b/>
          <w:i/>
        </w:rPr>
        <w:t>Example 2.</w:t>
      </w:r>
      <w:r>
        <w:t xml:space="preserve"> The organization does not have a travel policy with fixed per diems rates. </w:t>
      </w:r>
    </w:p>
    <w:p w:rsidR="00841DEA" w:rsidRDefault="00841DEA" w:rsidP="00831412">
      <w:pPr>
        <w:spacing w:after="0" w:line="240" w:lineRule="auto"/>
        <w:ind w:left="567"/>
        <w:jc w:val="both"/>
      </w:pPr>
      <w:r>
        <w:t xml:space="preserve">A project officer goes on a field mission to location A from 12/10 to 16/10, i.e. four nights. During this time he/she spends 200€ on hotel accommodation, and 160€ on meals. </w:t>
      </w:r>
      <w:r w:rsidR="00516339">
        <w:t>All the receipts are handed to the accounting, processed and entered in the accounting system.</w:t>
      </w:r>
    </w:p>
    <w:p w:rsidR="00831412" w:rsidRDefault="00831412" w:rsidP="00841DEA">
      <w:pPr>
        <w:spacing w:after="0" w:line="240" w:lineRule="auto"/>
        <w:ind w:left="567"/>
        <w:jc w:val="both"/>
      </w:pPr>
    </w:p>
    <w:p w:rsidR="005F06CB" w:rsidRDefault="00841DEA" w:rsidP="00841DEA">
      <w:pPr>
        <w:spacing w:after="0" w:line="240" w:lineRule="auto"/>
        <w:ind w:left="567"/>
        <w:jc w:val="both"/>
      </w:pPr>
      <w:r>
        <w:t xml:space="preserve">In the </w:t>
      </w:r>
      <w:r w:rsidR="00422817">
        <w:t xml:space="preserve">financial </w:t>
      </w:r>
      <w:r>
        <w:t>report the per diems budget lines will show:</w:t>
      </w:r>
    </w:p>
    <w:p w:rsidR="00841DEA" w:rsidRDefault="00841DEA" w:rsidP="00841DEA">
      <w:pPr>
        <w:spacing w:after="0" w:line="240" w:lineRule="auto"/>
        <w:ind w:left="567"/>
        <w:jc w:val="both"/>
      </w:pPr>
    </w:p>
    <w:tbl>
      <w:tblPr>
        <w:tblStyle w:val="TableGrid"/>
        <w:tblW w:w="0" w:type="auto"/>
        <w:tblInd w:w="567" w:type="dxa"/>
        <w:tblLook w:val="04A0" w:firstRow="1" w:lastRow="0" w:firstColumn="1" w:lastColumn="0" w:noHBand="0" w:noVBand="1"/>
      </w:tblPr>
      <w:tblGrid>
        <w:gridCol w:w="2917"/>
        <w:gridCol w:w="2889"/>
        <w:gridCol w:w="2915"/>
      </w:tblGrid>
      <w:tr w:rsidR="00841DEA" w:rsidTr="00831412">
        <w:tc>
          <w:tcPr>
            <w:tcW w:w="3088" w:type="dxa"/>
            <w:shd w:val="clear" w:color="auto" w:fill="D9D9D9" w:themeFill="background1" w:themeFillShade="D9"/>
          </w:tcPr>
          <w:p w:rsidR="00841DEA" w:rsidRPr="00831412" w:rsidRDefault="00841DEA" w:rsidP="00EC4191">
            <w:pPr>
              <w:spacing w:after="0" w:line="240" w:lineRule="auto"/>
              <w:jc w:val="center"/>
              <w:rPr>
                <w:b/>
              </w:rPr>
            </w:pPr>
            <w:r w:rsidRPr="00831412">
              <w:rPr>
                <w:b/>
              </w:rPr>
              <w:t>Number of units</w:t>
            </w:r>
          </w:p>
        </w:tc>
        <w:tc>
          <w:tcPr>
            <w:tcW w:w="3088" w:type="dxa"/>
            <w:shd w:val="clear" w:color="auto" w:fill="D9D9D9" w:themeFill="background1" w:themeFillShade="D9"/>
          </w:tcPr>
          <w:p w:rsidR="00841DEA" w:rsidRPr="00831412" w:rsidRDefault="00841DEA" w:rsidP="00EC4191">
            <w:pPr>
              <w:spacing w:after="0" w:line="240" w:lineRule="auto"/>
              <w:jc w:val="center"/>
              <w:rPr>
                <w:b/>
              </w:rPr>
            </w:pPr>
            <w:r w:rsidRPr="00831412">
              <w:rPr>
                <w:b/>
              </w:rPr>
              <w:t>Unit cost</w:t>
            </w:r>
          </w:p>
        </w:tc>
        <w:tc>
          <w:tcPr>
            <w:tcW w:w="3088" w:type="dxa"/>
            <w:shd w:val="clear" w:color="auto" w:fill="D9D9D9" w:themeFill="background1" w:themeFillShade="D9"/>
          </w:tcPr>
          <w:p w:rsidR="00841DEA" w:rsidRPr="00831412" w:rsidRDefault="00841DEA" w:rsidP="00EC4191">
            <w:pPr>
              <w:spacing w:after="0" w:line="240" w:lineRule="auto"/>
              <w:jc w:val="center"/>
              <w:rPr>
                <w:b/>
              </w:rPr>
            </w:pPr>
            <w:r w:rsidRPr="00831412">
              <w:rPr>
                <w:b/>
              </w:rPr>
              <w:t>Total amount</w:t>
            </w:r>
          </w:p>
        </w:tc>
      </w:tr>
      <w:tr w:rsidR="00841DEA" w:rsidTr="00EC4191">
        <w:tc>
          <w:tcPr>
            <w:tcW w:w="3088" w:type="dxa"/>
          </w:tcPr>
          <w:p w:rsidR="00841DEA" w:rsidRDefault="00841DEA" w:rsidP="00EC4191">
            <w:pPr>
              <w:spacing w:after="0" w:line="240" w:lineRule="auto"/>
              <w:jc w:val="center"/>
            </w:pPr>
            <w:r>
              <w:t>4</w:t>
            </w:r>
          </w:p>
        </w:tc>
        <w:tc>
          <w:tcPr>
            <w:tcW w:w="3088" w:type="dxa"/>
          </w:tcPr>
          <w:p w:rsidR="00841DEA" w:rsidRDefault="00841DEA" w:rsidP="00EC4191">
            <w:pPr>
              <w:spacing w:after="0" w:line="240" w:lineRule="auto"/>
              <w:jc w:val="center"/>
            </w:pPr>
            <w:r>
              <w:t>90</w:t>
            </w:r>
          </w:p>
        </w:tc>
        <w:tc>
          <w:tcPr>
            <w:tcW w:w="3088" w:type="dxa"/>
          </w:tcPr>
          <w:p w:rsidR="00841DEA" w:rsidRDefault="00841DEA" w:rsidP="00EC4191">
            <w:pPr>
              <w:spacing w:after="0" w:line="240" w:lineRule="auto"/>
              <w:jc w:val="center"/>
            </w:pPr>
            <w:r>
              <w:t>360</w:t>
            </w:r>
          </w:p>
        </w:tc>
      </w:tr>
    </w:tbl>
    <w:p w:rsidR="00CD40E0" w:rsidRDefault="00C214A5">
      <w:pPr>
        <w:pStyle w:val="Heading1"/>
        <w:numPr>
          <w:ilvl w:val="0"/>
          <w:numId w:val="4"/>
        </w:numPr>
        <w:ind w:left="851" w:hanging="851"/>
      </w:pPr>
      <w:r>
        <w:t>Simplified Cost Options</w:t>
      </w:r>
    </w:p>
    <w:p w:rsidR="00831412" w:rsidRDefault="00C214A5" w:rsidP="00831412">
      <w:pPr>
        <w:ind w:left="567"/>
        <w:jc w:val="both"/>
      </w:pPr>
      <w:r>
        <w:t xml:space="preserve">The unit cost for items budgeted on the basis of a simplified cost option is established prior to the signature of the grant agreement following checks that they are plausible and reasonable. </w:t>
      </w:r>
    </w:p>
    <w:p w:rsidR="00CD40E0" w:rsidRDefault="00C214A5" w:rsidP="00831412">
      <w:pPr>
        <w:ind w:left="567"/>
        <w:jc w:val="both"/>
      </w:pPr>
      <w:r>
        <w:t>Provided that there is no material change in the unit costs projects using simplified cost options report:</w:t>
      </w:r>
    </w:p>
    <w:p w:rsidR="00CD40E0" w:rsidRDefault="00C214A5" w:rsidP="00831412">
      <w:pPr>
        <w:ind w:left="567"/>
        <w:jc w:val="both"/>
      </w:pPr>
      <w:r>
        <w:t xml:space="preserve">Number of cost units </w:t>
      </w:r>
      <w:r>
        <w:rPr>
          <w:b/>
        </w:rPr>
        <w:t xml:space="preserve">x </w:t>
      </w:r>
      <w:r>
        <w:t>unit cost in the approved budget</w:t>
      </w:r>
    </w:p>
    <w:p w:rsidR="00CD40E0" w:rsidRDefault="00C214A5">
      <w:pPr>
        <w:ind w:left="567"/>
      </w:pPr>
      <w:r>
        <w:t>e.g.</w:t>
      </w:r>
    </w:p>
    <w:p w:rsidR="00CD40E0" w:rsidRDefault="00C214A5">
      <w:pPr>
        <w:ind w:left="567"/>
        <w:rPr>
          <w:b/>
          <w:i/>
        </w:rPr>
      </w:pPr>
      <w:r>
        <w:rPr>
          <w:b/>
          <w:i/>
        </w:rPr>
        <w:t>Budget</w:t>
      </w:r>
    </w:p>
    <w:tbl>
      <w:tblPr>
        <w:tblStyle w:val="TableGrid"/>
        <w:tblW w:w="8697" w:type="dxa"/>
        <w:tblInd w:w="562" w:type="dxa"/>
        <w:tblCellMar>
          <w:left w:w="103" w:type="dxa"/>
        </w:tblCellMar>
        <w:tblLook w:val="04A0" w:firstRow="1" w:lastRow="0" w:firstColumn="1" w:lastColumn="0" w:noHBand="0" w:noVBand="1"/>
      </w:tblPr>
      <w:tblGrid>
        <w:gridCol w:w="3227"/>
        <w:gridCol w:w="1276"/>
        <w:gridCol w:w="1417"/>
        <w:gridCol w:w="1416"/>
        <w:gridCol w:w="1361"/>
      </w:tblGrid>
      <w:tr w:rsidR="00CD40E0">
        <w:tc>
          <w:tcPr>
            <w:tcW w:w="3227" w:type="dxa"/>
            <w:shd w:val="clear" w:color="auto" w:fill="D9D9D9" w:themeFill="background1" w:themeFillShade="D9"/>
            <w:tcMar>
              <w:left w:w="103" w:type="dxa"/>
            </w:tcMar>
          </w:tcPr>
          <w:p w:rsidR="00CD40E0" w:rsidRPr="00831412" w:rsidRDefault="00C214A5">
            <w:pPr>
              <w:spacing w:after="0" w:line="240" w:lineRule="auto"/>
              <w:jc w:val="center"/>
              <w:rPr>
                <w:b/>
                <w:sz w:val="20"/>
              </w:rPr>
            </w:pPr>
            <w:r w:rsidRPr="00831412">
              <w:rPr>
                <w:b/>
                <w:sz w:val="20"/>
              </w:rPr>
              <w:t>Cost</w:t>
            </w:r>
          </w:p>
        </w:tc>
        <w:tc>
          <w:tcPr>
            <w:tcW w:w="1276" w:type="dxa"/>
            <w:shd w:val="clear" w:color="auto" w:fill="D9D9D9" w:themeFill="background1" w:themeFillShade="D9"/>
            <w:tcMar>
              <w:left w:w="103" w:type="dxa"/>
            </w:tcMar>
            <w:vAlign w:val="center"/>
          </w:tcPr>
          <w:p w:rsidR="00CD40E0" w:rsidRPr="00831412" w:rsidRDefault="00C214A5">
            <w:pPr>
              <w:spacing w:after="0" w:line="240" w:lineRule="auto"/>
              <w:jc w:val="center"/>
              <w:rPr>
                <w:b/>
                <w:sz w:val="20"/>
              </w:rPr>
            </w:pPr>
            <w:r w:rsidRPr="00831412">
              <w:rPr>
                <w:b/>
                <w:sz w:val="20"/>
              </w:rPr>
              <w:t>Unit</w:t>
            </w:r>
          </w:p>
        </w:tc>
        <w:tc>
          <w:tcPr>
            <w:tcW w:w="1417" w:type="dxa"/>
            <w:shd w:val="clear" w:color="auto" w:fill="D9D9D9" w:themeFill="background1" w:themeFillShade="D9"/>
            <w:tcMar>
              <w:left w:w="103" w:type="dxa"/>
            </w:tcMar>
            <w:vAlign w:val="center"/>
          </w:tcPr>
          <w:p w:rsidR="00CD40E0" w:rsidRPr="00831412" w:rsidRDefault="00C214A5">
            <w:pPr>
              <w:spacing w:after="0" w:line="240" w:lineRule="auto"/>
              <w:jc w:val="center"/>
              <w:rPr>
                <w:b/>
                <w:sz w:val="20"/>
              </w:rPr>
            </w:pPr>
            <w:r w:rsidRPr="00831412">
              <w:rPr>
                <w:b/>
                <w:sz w:val="20"/>
              </w:rPr>
              <w:t># of units</w:t>
            </w:r>
          </w:p>
        </w:tc>
        <w:tc>
          <w:tcPr>
            <w:tcW w:w="1416" w:type="dxa"/>
            <w:shd w:val="clear" w:color="auto" w:fill="D9D9D9" w:themeFill="background1" w:themeFillShade="D9"/>
            <w:tcMar>
              <w:left w:w="103" w:type="dxa"/>
            </w:tcMar>
            <w:vAlign w:val="center"/>
          </w:tcPr>
          <w:p w:rsidR="00CD40E0" w:rsidRPr="00831412" w:rsidRDefault="00C214A5">
            <w:pPr>
              <w:spacing w:after="0" w:line="240" w:lineRule="auto"/>
              <w:jc w:val="center"/>
              <w:rPr>
                <w:b/>
                <w:sz w:val="20"/>
              </w:rPr>
            </w:pPr>
            <w:r w:rsidRPr="00831412">
              <w:rPr>
                <w:b/>
                <w:sz w:val="20"/>
              </w:rPr>
              <w:t>Unit value (€)</w:t>
            </w:r>
          </w:p>
        </w:tc>
        <w:tc>
          <w:tcPr>
            <w:tcW w:w="1361" w:type="dxa"/>
            <w:shd w:val="clear" w:color="auto" w:fill="D9D9D9" w:themeFill="background1" w:themeFillShade="D9"/>
            <w:tcMar>
              <w:left w:w="103" w:type="dxa"/>
            </w:tcMar>
            <w:vAlign w:val="center"/>
          </w:tcPr>
          <w:p w:rsidR="00CD40E0" w:rsidRPr="00831412" w:rsidRDefault="00C214A5">
            <w:pPr>
              <w:spacing w:after="0" w:line="240" w:lineRule="auto"/>
              <w:jc w:val="center"/>
              <w:rPr>
                <w:b/>
                <w:sz w:val="20"/>
              </w:rPr>
            </w:pPr>
            <w:r w:rsidRPr="00831412">
              <w:rPr>
                <w:b/>
                <w:sz w:val="20"/>
              </w:rPr>
              <w:t>Total cost (€)</w:t>
            </w:r>
          </w:p>
        </w:tc>
      </w:tr>
      <w:tr w:rsidR="00CD40E0">
        <w:tc>
          <w:tcPr>
            <w:tcW w:w="3227" w:type="dxa"/>
            <w:shd w:val="clear" w:color="auto" w:fill="auto"/>
            <w:tcMar>
              <w:left w:w="103" w:type="dxa"/>
            </w:tcMar>
            <w:vAlign w:val="center"/>
          </w:tcPr>
          <w:p w:rsidR="00CD40E0" w:rsidRDefault="00C214A5">
            <w:pPr>
              <w:spacing w:after="0" w:line="240" w:lineRule="auto"/>
              <w:rPr>
                <w:sz w:val="20"/>
              </w:rPr>
            </w:pPr>
            <w:r>
              <w:rPr>
                <w:sz w:val="20"/>
              </w:rPr>
              <w:t>3.1.1. Box of 5 baiting stations</w:t>
            </w:r>
          </w:p>
        </w:tc>
        <w:tc>
          <w:tcPr>
            <w:tcW w:w="1276" w:type="dxa"/>
            <w:shd w:val="clear" w:color="auto" w:fill="auto"/>
            <w:tcMar>
              <w:left w:w="103" w:type="dxa"/>
            </w:tcMar>
            <w:vAlign w:val="center"/>
          </w:tcPr>
          <w:p w:rsidR="00CD40E0" w:rsidRDefault="00C214A5">
            <w:pPr>
              <w:spacing w:after="0" w:line="240" w:lineRule="auto"/>
              <w:jc w:val="center"/>
              <w:rPr>
                <w:sz w:val="20"/>
              </w:rPr>
            </w:pPr>
            <w:r>
              <w:rPr>
                <w:sz w:val="20"/>
              </w:rPr>
              <w:t>UNIT COST (per box)</w:t>
            </w:r>
          </w:p>
        </w:tc>
        <w:tc>
          <w:tcPr>
            <w:tcW w:w="1417" w:type="dxa"/>
            <w:shd w:val="clear" w:color="auto" w:fill="auto"/>
            <w:tcMar>
              <w:left w:w="103" w:type="dxa"/>
            </w:tcMar>
            <w:vAlign w:val="center"/>
          </w:tcPr>
          <w:p w:rsidR="00CD40E0" w:rsidRDefault="00C214A5">
            <w:pPr>
              <w:spacing w:after="0" w:line="240" w:lineRule="auto"/>
              <w:jc w:val="center"/>
              <w:rPr>
                <w:sz w:val="20"/>
              </w:rPr>
            </w:pPr>
            <w:r>
              <w:rPr>
                <w:sz w:val="20"/>
              </w:rPr>
              <w:t>10</w:t>
            </w:r>
          </w:p>
        </w:tc>
        <w:tc>
          <w:tcPr>
            <w:tcW w:w="1416" w:type="dxa"/>
            <w:shd w:val="clear" w:color="auto" w:fill="auto"/>
            <w:tcMar>
              <w:left w:w="103" w:type="dxa"/>
            </w:tcMar>
            <w:vAlign w:val="center"/>
          </w:tcPr>
          <w:p w:rsidR="00CD40E0" w:rsidRDefault="00C214A5">
            <w:pPr>
              <w:spacing w:after="0" w:line="240" w:lineRule="auto"/>
              <w:jc w:val="center"/>
              <w:rPr>
                <w:sz w:val="20"/>
              </w:rPr>
            </w:pPr>
            <w:r>
              <w:rPr>
                <w:sz w:val="20"/>
              </w:rPr>
              <w:t>40</w:t>
            </w:r>
          </w:p>
        </w:tc>
        <w:tc>
          <w:tcPr>
            <w:tcW w:w="1361" w:type="dxa"/>
            <w:shd w:val="clear" w:color="auto" w:fill="auto"/>
            <w:tcMar>
              <w:left w:w="103" w:type="dxa"/>
            </w:tcMar>
            <w:vAlign w:val="center"/>
          </w:tcPr>
          <w:p w:rsidR="00CD40E0" w:rsidRDefault="00C214A5">
            <w:pPr>
              <w:spacing w:after="0" w:line="240" w:lineRule="auto"/>
              <w:jc w:val="center"/>
              <w:rPr>
                <w:sz w:val="20"/>
              </w:rPr>
            </w:pPr>
            <w:r>
              <w:rPr>
                <w:sz w:val="20"/>
              </w:rPr>
              <w:t>400</w:t>
            </w:r>
          </w:p>
        </w:tc>
      </w:tr>
      <w:tr w:rsidR="00CD40E0">
        <w:tc>
          <w:tcPr>
            <w:tcW w:w="3227" w:type="dxa"/>
            <w:shd w:val="clear" w:color="auto" w:fill="auto"/>
            <w:tcMar>
              <w:left w:w="103" w:type="dxa"/>
            </w:tcMar>
            <w:vAlign w:val="center"/>
          </w:tcPr>
          <w:p w:rsidR="00CD40E0" w:rsidRDefault="00C214A5">
            <w:pPr>
              <w:spacing w:after="0" w:line="240" w:lineRule="auto"/>
              <w:rPr>
                <w:sz w:val="20"/>
              </w:rPr>
            </w:pPr>
            <w:r>
              <w:rPr>
                <w:sz w:val="20"/>
              </w:rPr>
              <w:t>5.1.1. Production of a video on the island X’s biodiversity</w:t>
            </w:r>
          </w:p>
        </w:tc>
        <w:tc>
          <w:tcPr>
            <w:tcW w:w="1276" w:type="dxa"/>
            <w:shd w:val="clear" w:color="auto" w:fill="auto"/>
            <w:tcMar>
              <w:left w:w="103" w:type="dxa"/>
            </w:tcMar>
            <w:vAlign w:val="center"/>
          </w:tcPr>
          <w:p w:rsidR="00CD40E0" w:rsidRDefault="00C214A5">
            <w:pPr>
              <w:spacing w:after="0" w:line="240" w:lineRule="auto"/>
              <w:jc w:val="center"/>
              <w:rPr>
                <w:sz w:val="20"/>
              </w:rPr>
            </w:pPr>
            <w:r>
              <w:rPr>
                <w:sz w:val="20"/>
              </w:rPr>
              <w:t>LUMP SUM (for production of the video)</w:t>
            </w:r>
          </w:p>
        </w:tc>
        <w:tc>
          <w:tcPr>
            <w:tcW w:w="1417" w:type="dxa"/>
            <w:shd w:val="clear" w:color="auto" w:fill="auto"/>
            <w:tcMar>
              <w:left w:w="103" w:type="dxa"/>
            </w:tcMar>
            <w:vAlign w:val="center"/>
          </w:tcPr>
          <w:p w:rsidR="00CD40E0" w:rsidRDefault="00C214A5">
            <w:pPr>
              <w:spacing w:after="0" w:line="240" w:lineRule="auto"/>
              <w:jc w:val="center"/>
              <w:rPr>
                <w:sz w:val="20"/>
              </w:rPr>
            </w:pPr>
            <w:r>
              <w:rPr>
                <w:sz w:val="20"/>
              </w:rPr>
              <w:t>1</w:t>
            </w:r>
          </w:p>
        </w:tc>
        <w:tc>
          <w:tcPr>
            <w:tcW w:w="1416" w:type="dxa"/>
            <w:shd w:val="clear" w:color="auto" w:fill="auto"/>
            <w:tcMar>
              <w:left w:w="103" w:type="dxa"/>
            </w:tcMar>
            <w:vAlign w:val="center"/>
          </w:tcPr>
          <w:p w:rsidR="00CD40E0" w:rsidRDefault="00C214A5">
            <w:pPr>
              <w:spacing w:after="0" w:line="240" w:lineRule="auto"/>
              <w:jc w:val="center"/>
              <w:rPr>
                <w:sz w:val="20"/>
              </w:rPr>
            </w:pPr>
            <w:r>
              <w:rPr>
                <w:sz w:val="20"/>
              </w:rPr>
              <w:t>500</w:t>
            </w:r>
          </w:p>
        </w:tc>
        <w:tc>
          <w:tcPr>
            <w:tcW w:w="1361" w:type="dxa"/>
            <w:shd w:val="clear" w:color="auto" w:fill="auto"/>
            <w:tcMar>
              <w:left w:w="103" w:type="dxa"/>
            </w:tcMar>
            <w:vAlign w:val="center"/>
          </w:tcPr>
          <w:p w:rsidR="00CD40E0" w:rsidRDefault="00C214A5">
            <w:pPr>
              <w:spacing w:after="0" w:line="240" w:lineRule="auto"/>
              <w:jc w:val="center"/>
              <w:rPr>
                <w:sz w:val="20"/>
              </w:rPr>
            </w:pPr>
            <w:r>
              <w:rPr>
                <w:sz w:val="20"/>
              </w:rPr>
              <w:t>500</w:t>
            </w:r>
          </w:p>
        </w:tc>
      </w:tr>
    </w:tbl>
    <w:p w:rsidR="00CD40E0" w:rsidRDefault="00CD40E0">
      <w:pPr>
        <w:ind w:left="567"/>
      </w:pPr>
    </w:p>
    <w:p w:rsidR="00CD40E0" w:rsidRDefault="00C214A5" w:rsidP="00083DBC">
      <w:pPr>
        <w:ind w:left="567"/>
        <w:jc w:val="both"/>
      </w:pPr>
      <w:r>
        <w:lastRenderedPageBreak/>
        <w:t xml:space="preserve">If 6 boxes are purchased during the reporting period the project will report 6 units at the unit price of €40 as per the approved budget </w:t>
      </w:r>
    </w:p>
    <w:p w:rsidR="00CD40E0" w:rsidRDefault="00C214A5" w:rsidP="00083DBC">
      <w:pPr>
        <w:ind w:left="567"/>
        <w:jc w:val="both"/>
      </w:pPr>
      <w:r>
        <w:t>If the video on the biodiversity of island X has been produced then the total cost established in the budget should be reported.</w:t>
      </w:r>
    </w:p>
    <w:p w:rsidR="00CD40E0" w:rsidRDefault="00C214A5">
      <w:pPr>
        <w:ind w:left="567"/>
        <w:rPr>
          <w:b/>
          <w:i/>
        </w:rPr>
      </w:pPr>
      <w:r>
        <w:rPr>
          <w:b/>
          <w:i/>
        </w:rPr>
        <w:t>Financial Report</w:t>
      </w:r>
    </w:p>
    <w:tbl>
      <w:tblPr>
        <w:tblStyle w:val="TableGrid"/>
        <w:tblW w:w="8697" w:type="dxa"/>
        <w:tblInd w:w="562" w:type="dxa"/>
        <w:tblCellMar>
          <w:left w:w="103" w:type="dxa"/>
        </w:tblCellMar>
        <w:tblLook w:val="04A0" w:firstRow="1" w:lastRow="0" w:firstColumn="1" w:lastColumn="0" w:noHBand="0" w:noVBand="1"/>
      </w:tblPr>
      <w:tblGrid>
        <w:gridCol w:w="3227"/>
        <w:gridCol w:w="1276"/>
        <w:gridCol w:w="1417"/>
        <w:gridCol w:w="1416"/>
        <w:gridCol w:w="1361"/>
      </w:tblGrid>
      <w:tr w:rsidR="00CD40E0">
        <w:tc>
          <w:tcPr>
            <w:tcW w:w="3227" w:type="dxa"/>
            <w:shd w:val="clear" w:color="auto" w:fill="D9D9D9" w:themeFill="background1" w:themeFillShade="D9"/>
            <w:tcMar>
              <w:left w:w="103" w:type="dxa"/>
            </w:tcMar>
          </w:tcPr>
          <w:p w:rsidR="00CD40E0" w:rsidRDefault="00C214A5">
            <w:pPr>
              <w:spacing w:after="0" w:line="240" w:lineRule="auto"/>
              <w:jc w:val="center"/>
              <w:rPr>
                <w:sz w:val="20"/>
              </w:rPr>
            </w:pPr>
            <w:r>
              <w:rPr>
                <w:sz w:val="20"/>
              </w:rPr>
              <w:t>Cost</w:t>
            </w:r>
          </w:p>
        </w:tc>
        <w:tc>
          <w:tcPr>
            <w:tcW w:w="1276" w:type="dxa"/>
            <w:shd w:val="clear" w:color="auto" w:fill="D9D9D9" w:themeFill="background1" w:themeFillShade="D9"/>
            <w:tcMar>
              <w:left w:w="103" w:type="dxa"/>
            </w:tcMar>
            <w:vAlign w:val="center"/>
          </w:tcPr>
          <w:p w:rsidR="00CD40E0" w:rsidRDefault="00C214A5">
            <w:pPr>
              <w:spacing w:after="0" w:line="240" w:lineRule="auto"/>
              <w:jc w:val="center"/>
              <w:rPr>
                <w:sz w:val="20"/>
              </w:rPr>
            </w:pPr>
            <w:r>
              <w:rPr>
                <w:sz w:val="20"/>
              </w:rPr>
              <w:t>Unit</w:t>
            </w:r>
          </w:p>
        </w:tc>
        <w:tc>
          <w:tcPr>
            <w:tcW w:w="1417" w:type="dxa"/>
            <w:shd w:val="clear" w:color="auto" w:fill="D9D9D9" w:themeFill="background1" w:themeFillShade="D9"/>
            <w:tcMar>
              <w:left w:w="103" w:type="dxa"/>
            </w:tcMar>
            <w:vAlign w:val="center"/>
          </w:tcPr>
          <w:p w:rsidR="00CD40E0" w:rsidRDefault="00C214A5">
            <w:pPr>
              <w:spacing w:after="0" w:line="240" w:lineRule="auto"/>
              <w:jc w:val="center"/>
              <w:rPr>
                <w:sz w:val="20"/>
              </w:rPr>
            </w:pPr>
            <w:r>
              <w:rPr>
                <w:sz w:val="20"/>
              </w:rPr>
              <w:t># of units</w:t>
            </w:r>
          </w:p>
        </w:tc>
        <w:tc>
          <w:tcPr>
            <w:tcW w:w="1416" w:type="dxa"/>
            <w:shd w:val="clear" w:color="auto" w:fill="D9D9D9" w:themeFill="background1" w:themeFillShade="D9"/>
            <w:tcMar>
              <w:left w:w="103" w:type="dxa"/>
            </w:tcMar>
            <w:vAlign w:val="center"/>
          </w:tcPr>
          <w:p w:rsidR="00CD40E0" w:rsidRDefault="00C214A5">
            <w:pPr>
              <w:spacing w:after="0" w:line="240" w:lineRule="auto"/>
              <w:jc w:val="center"/>
              <w:rPr>
                <w:sz w:val="20"/>
              </w:rPr>
            </w:pPr>
            <w:r>
              <w:rPr>
                <w:sz w:val="20"/>
              </w:rPr>
              <w:t>Unit value (€)</w:t>
            </w:r>
          </w:p>
        </w:tc>
        <w:tc>
          <w:tcPr>
            <w:tcW w:w="1361" w:type="dxa"/>
            <w:shd w:val="clear" w:color="auto" w:fill="D9D9D9" w:themeFill="background1" w:themeFillShade="D9"/>
            <w:tcMar>
              <w:left w:w="103" w:type="dxa"/>
            </w:tcMar>
            <w:vAlign w:val="center"/>
          </w:tcPr>
          <w:p w:rsidR="00CD40E0" w:rsidRDefault="00C214A5">
            <w:pPr>
              <w:spacing w:after="0" w:line="240" w:lineRule="auto"/>
              <w:jc w:val="center"/>
              <w:rPr>
                <w:sz w:val="20"/>
              </w:rPr>
            </w:pPr>
            <w:r>
              <w:rPr>
                <w:sz w:val="20"/>
              </w:rPr>
              <w:t>Total cost (€)</w:t>
            </w:r>
          </w:p>
        </w:tc>
      </w:tr>
      <w:tr w:rsidR="00CD40E0">
        <w:tc>
          <w:tcPr>
            <w:tcW w:w="3227" w:type="dxa"/>
            <w:shd w:val="clear" w:color="auto" w:fill="auto"/>
            <w:tcMar>
              <w:left w:w="103" w:type="dxa"/>
            </w:tcMar>
            <w:vAlign w:val="center"/>
          </w:tcPr>
          <w:p w:rsidR="00CD40E0" w:rsidRDefault="00C214A5">
            <w:pPr>
              <w:spacing w:after="0" w:line="240" w:lineRule="auto"/>
              <w:rPr>
                <w:sz w:val="20"/>
              </w:rPr>
            </w:pPr>
            <w:r>
              <w:rPr>
                <w:sz w:val="20"/>
              </w:rPr>
              <w:t>3.1.1. Box of 5 baiting stations</w:t>
            </w:r>
          </w:p>
        </w:tc>
        <w:tc>
          <w:tcPr>
            <w:tcW w:w="1276" w:type="dxa"/>
            <w:shd w:val="clear" w:color="auto" w:fill="auto"/>
            <w:tcMar>
              <w:left w:w="103" w:type="dxa"/>
            </w:tcMar>
            <w:vAlign w:val="center"/>
          </w:tcPr>
          <w:p w:rsidR="00CD40E0" w:rsidRDefault="00C214A5">
            <w:pPr>
              <w:spacing w:after="0" w:line="240" w:lineRule="auto"/>
              <w:jc w:val="center"/>
              <w:rPr>
                <w:sz w:val="20"/>
              </w:rPr>
            </w:pPr>
            <w:r>
              <w:rPr>
                <w:sz w:val="20"/>
              </w:rPr>
              <w:t>UNIT COST (per box)</w:t>
            </w:r>
          </w:p>
        </w:tc>
        <w:tc>
          <w:tcPr>
            <w:tcW w:w="1417" w:type="dxa"/>
            <w:shd w:val="clear" w:color="auto" w:fill="auto"/>
            <w:tcMar>
              <w:left w:w="103" w:type="dxa"/>
            </w:tcMar>
            <w:vAlign w:val="center"/>
          </w:tcPr>
          <w:p w:rsidR="00CD40E0" w:rsidRDefault="00C214A5">
            <w:pPr>
              <w:spacing w:after="0" w:line="240" w:lineRule="auto"/>
              <w:jc w:val="center"/>
              <w:rPr>
                <w:sz w:val="20"/>
              </w:rPr>
            </w:pPr>
            <w:r>
              <w:rPr>
                <w:sz w:val="20"/>
              </w:rPr>
              <w:t>6</w:t>
            </w:r>
          </w:p>
        </w:tc>
        <w:tc>
          <w:tcPr>
            <w:tcW w:w="1416" w:type="dxa"/>
            <w:shd w:val="clear" w:color="auto" w:fill="auto"/>
            <w:tcMar>
              <w:left w:w="103" w:type="dxa"/>
            </w:tcMar>
            <w:vAlign w:val="center"/>
          </w:tcPr>
          <w:p w:rsidR="00CD40E0" w:rsidRDefault="00C214A5">
            <w:pPr>
              <w:spacing w:after="0" w:line="240" w:lineRule="auto"/>
              <w:jc w:val="center"/>
              <w:rPr>
                <w:sz w:val="20"/>
              </w:rPr>
            </w:pPr>
            <w:r>
              <w:rPr>
                <w:sz w:val="20"/>
              </w:rPr>
              <w:t>40</w:t>
            </w:r>
          </w:p>
        </w:tc>
        <w:tc>
          <w:tcPr>
            <w:tcW w:w="1361" w:type="dxa"/>
            <w:shd w:val="clear" w:color="auto" w:fill="auto"/>
            <w:tcMar>
              <w:left w:w="103" w:type="dxa"/>
            </w:tcMar>
            <w:vAlign w:val="center"/>
          </w:tcPr>
          <w:p w:rsidR="00CD40E0" w:rsidRDefault="00C214A5">
            <w:pPr>
              <w:spacing w:after="0" w:line="240" w:lineRule="auto"/>
              <w:jc w:val="center"/>
              <w:rPr>
                <w:sz w:val="20"/>
              </w:rPr>
            </w:pPr>
            <w:r>
              <w:rPr>
                <w:sz w:val="20"/>
              </w:rPr>
              <w:t>240</w:t>
            </w:r>
          </w:p>
        </w:tc>
      </w:tr>
      <w:tr w:rsidR="00CD40E0">
        <w:tc>
          <w:tcPr>
            <w:tcW w:w="3227" w:type="dxa"/>
            <w:shd w:val="clear" w:color="auto" w:fill="auto"/>
            <w:tcMar>
              <w:left w:w="103" w:type="dxa"/>
            </w:tcMar>
            <w:vAlign w:val="center"/>
          </w:tcPr>
          <w:p w:rsidR="00CD40E0" w:rsidRDefault="00C214A5">
            <w:pPr>
              <w:spacing w:after="0" w:line="240" w:lineRule="auto"/>
              <w:rPr>
                <w:sz w:val="20"/>
              </w:rPr>
            </w:pPr>
            <w:r>
              <w:rPr>
                <w:sz w:val="20"/>
              </w:rPr>
              <w:t>5.1.1. Production of a video on the island X’s biodiversity</w:t>
            </w:r>
          </w:p>
        </w:tc>
        <w:tc>
          <w:tcPr>
            <w:tcW w:w="1276" w:type="dxa"/>
            <w:shd w:val="clear" w:color="auto" w:fill="auto"/>
            <w:tcMar>
              <w:left w:w="103" w:type="dxa"/>
            </w:tcMar>
            <w:vAlign w:val="center"/>
          </w:tcPr>
          <w:p w:rsidR="00CD40E0" w:rsidRDefault="00C214A5">
            <w:pPr>
              <w:spacing w:after="0" w:line="240" w:lineRule="auto"/>
              <w:jc w:val="center"/>
              <w:rPr>
                <w:sz w:val="20"/>
              </w:rPr>
            </w:pPr>
            <w:r>
              <w:rPr>
                <w:sz w:val="20"/>
              </w:rPr>
              <w:t>LUMP SUM (for video)</w:t>
            </w:r>
          </w:p>
        </w:tc>
        <w:tc>
          <w:tcPr>
            <w:tcW w:w="1417" w:type="dxa"/>
            <w:shd w:val="clear" w:color="auto" w:fill="auto"/>
            <w:tcMar>
              <w:left w:w="103" w:type="dxa"/>
            </w:tcMar>
            <w:vAlign w:val="center"/>
          </w:tcPr>
          <w:p w:rsidR="00CD40E0" w:rsidRDefault="00C214A5">
            <w:pPr>
              <w:spacing w:after="0" w:line="240" w:lineRule="auto"/>
              <w:jc w:val="center"/>
              <w:rPr>
                <w:sz w:val="20"/>
              </w:rPr>
            </w:pPr>
            <w:r>
              <w:rPr>
                <w:sz w:val="20"/>
              </w:rPr>
              <w:t>1</w:t>
            </w:r>
          </w:p>
        </w:tc>
        <w:tc>
          <w:tcPr>
            <w:tcW w:w="1416" w:type="dxa"/>
            <w:shd w:val="clear" w:color="auto" w:fill="auto"/>
            <w:tcMar>
              <w:left w:w="103" w:type="dxa"/>
            </w:tcMar>
            <w:vAlign w:val="center"/>
          </w:tcPr>
          <w:p w:rsidR="00CD40E0" w:rsidRDefault="00C214A5">
            <w:pPr>
              <w:spacing w:after="0" w:line="240" w:lineRule="auto"/>
              <w:jc w:val="center"/>
              <w:rPr>
                <w:sz w:val="20"/>
              </w:rPr>
            </w:pPr>
            <w:r>
              <w:rPr>
                <w:sz w:val="20"/>
              </w:rPr>
              <w:t>500</w:t>
            </w:r>
          </w:p>
        </w:tc>
        <w:tc>
          <w:tcPr>
            <w:tcW w:w="1361" w:type="dxa"/>
            <w:shd w:val="clear" w:color="auto" w:fill="auto"/>
            <w:tcMar>
              <w:left w:w="103" w:type="dxa"/>
            </w:tcMar>
            <w:vAlign w:val="center"/>
          </w:tcPr>
          <w:p w:rsidR="00CD40E0" w:rsidRDefault="00C214A5">
            <w:pPr>
              <w:spacing w:after="0" w:line="240" w:lineRule="auto"/>
              <w:jc w:val="center"/>
              <w:rPr>
                <w:sz w:val="20"/>
              </w:rPr>
            </w:pPr>
            <w:r>
              <w:rPr>
                <w:sz w:val="20"/>
              </w:rPr>
              <w:t>500</w:t>
            </w:r>
          </w:p>
        </w:tc>
      </w:tr>
    </w:tbl>
    <w:p w:rsidR="00CD40E0" w:rsidRDefault="00CD40E0">
      <w:pPr>
        <w:ind w:left="567"/>
      </w:pPr>
    </w:p>
    <w:p w:rsidR="00CD40E0" w:rsidRDefault="00C214A5" w:rsidP="00083DBC">
      <w:pPr>
        <w:ind w:left="567"/>
        <w:jc w:val="both"/>
      </w:pPr>
      <w:r>
        <w:t xml:space="preserve">Projects using simplified cost options </w:t>
      </w:r>
      <w:r w:rsidRPr="00083DBC">
        <w:rPr>
          <w:b/>
          <w:u w:val="single"/>
        </w:rPr>
        <w:t>must keep all supporting documents and records related to the actual costs incurred and that are necessary to establish that that the grant has been effectively implemented.</w:t>
      </w:r>
    </w:p>
    <w:p w:rsidR="00CD40E0" w:rsidRDefault="00C214A5" w:rsidP="00083DBC">
      <w:pPr>
        <w:ind w:left="567"/>
        <w:jc w:val="both"/>
      </w:pPr>
      <w:r>
        <w:t>Checks on the financial reports for projects using simplified cost options will focus on the number of units e.g. to establish that the project did indeed purchase 6 units of baiting stations and the outputs</w:t>
      </w:r>
      <w:r w:rsidR="00422817">
        <w:t xml:space="preserve"> / deliverables</w:t>
      </w:r>
      <w:r>
        <w:t xml:space="preserve"> from the projects e.g. video, meeting reports etc. to confirm that the deliverables or events underlying the costs reported have been produced or taken place. </w:t>
      </w:r>
    </w:p>
    <w:p w:rsidR="00CD40E0" w:rsidRDefault="00C214A5" w:rsidP="00083DBC">
      <w:pPr>
        <w:ind w:left="567"/>
        <w:jc w:val="both"/>
      </w:pPr>
      <w:r>
        <w:t>If following the commencement of the project there are changes to the cost item that affects the unit value and number of units e.g. if the project decides to purchase a different baiting station that is only available in boxes of 7, then the actual costs incurred should be reported.</w:t>
      </w:r>
    </w:p>
    <w:tbl>
      <w:tblPr>
        <w:tblStyle w:val="TableGrid"/>
        <w:tblW w:w="9171" w:type="dxa"/>
        <w:tblInd w:w="567" w:type="dxa"/>
        <w:tblCellMar>
          <w:left w:w="113" w:type="dxa"/>
        </w:tblCellMar>
        <w:tblLook w:val="0000" w:firstRow="0" w:lastRow="0" w:firstColumn="0" w:lastColumn="0" w:noHBand="0" w:noVBand="0"/>
      </w:tblPr>
      <w:tblGrid>
        <w:gridCol w:w="3403"/>
        <w:gridCol w:w="1344"/>
        <w:gridCol w:w="1494"/>
        <w:gridCol w:w="1495"/>
        <w:gridCol w:w="1435"/>
      </w:tblGrid>
      <w:tr w:rsidR="00CD40E0" w:rsidTr="00831412">
        <w:tc>
          <w:tcPr>
            <w:tcW w:w="3403" w:type="dxa"/>
            <w:shd w:val="clear" w:color="auto" w:fill="D9D9D9" w:themeFill="background1" w:themeFillShade="D9"/>
          </w:tcPr>
          <w:p w:rsidR="00CD40E0" w:rsidRPr="00831412" w:rsidRDefault="00C214A5">
            <w:pPr>
              <w:spacing w:after="0" w:line="240" w:lineRule="auto"/>
              <w:jc w:val="center"/>
              <w:rPr>
                <w:b/>
                <w:sz w:val="20"/>
              </w:rPr>
            </w:pPr>
            <w:r w:rsidRPr="00831412">
              <w:rPr>
                <w:b/>
                <w:sz w:val="20"/>
              </w:rPr>
              <w:t>Cost</w:t>
            </w:r>
          </w:p>
        </w:tc>
        <w:tc>
          <w:tcPr>
            <w:tcW w:w="1344" w:type="dxa"/>
            <w:shd w:val="clear" w:color="auto" w:fill="D9D9D9" w:themeFill="background1" w:themeFillShade="D9"/>
            <w:tcMar>
              <w:left w:w="98" w:type="dxa"/>
            </w:tcMar>
            <w:vAlign w:val="center"/>
          </w:tcPr>
          <w:p w:rsidR="00CD40E0" w:rsidRPr="00831412" w:rsidRDefault="00C214A5">
            <w:pPr>
              <w:spacing w:after="0" w:line="240" w:lineRule="auto"/>
              <w:jc w:val="center"/>
              <w:rPr>
                <w:b/>
                <w:sz w:val="20"/>
              </w:rPr>
            </w:pPr>
            <w:r w:rsidRPr="00831412">
              <w:rPr>
                <w:b/>
                <w:sz w:val="20"/>
              </w:rPr>
              <w:t>Unit</w:t>
            </w:r>
          </w:p>
        </w:tc>
        <w:tc>
          <w:tcPr>
            <w:tcW w:w="1494" w:type="dxa"/>
            <w:shd w:val="clear" w:color="auto" w:fill="D9D9D9" w:themeFill="background1" w:themeFillShade="D9"/>
            <w:tcMar>
              <w:left w:w="98" w:type="dxa"/>
            </w:tcMar>
            <w:vAlign w:val="center"/>
          </w:tcPr>
          <w:p w:rsidR="00CD40E0" w:rsidRPr="00831412" w:rsidRDefault="00C214A5">
            <w:pPr>
              <w:spacing w:after="0" w:line="240" w:lineRule="auto"/>
              <w:jc w:val="center"/>
              <w:rPr>
                <w:b/>
                <w:sz w:val="20"/>
              </w:rPr>
            </w:pPr>
            <w:r w:rsidRPr="00831412">
              <w:rPr>
                <w:b/>
                <w:sz w:val="20"/>
              </w:rPr>
              <w:t># of units</w:t>
            </w:r>
          </w:p>
        </w:tc>
        <w:tc>
          <w:tcPr>
            <w:tcW w:w="1495" w:type="dxa"/>
            <w:shd w:val="clear" w:color="auto" w:fill="D9D9D9" w:themeFill="background1" w:themeFillShade="D9"/>
            <w:tcMar>
              <w:left w:w="98" w:type="dxa"/>
            </w:tcMar>
            <w:vAlign w:val="center"/>
          </w:tcPr>
          <w:p w:rsidR="00CD40E0" w:rsidRPr="00831412" w:rsidRDefault="00C214A5">
            <w:pPr>
              <w:spacing w:after="0" w:line="240" w:lineRule="auto"/>
              <w:jc w:val="center"/>
              <w:rPr>
                <w:b/>
                <w:sz w:val="20"/>
              </w:rPr>
            </w:pPr>
            <w:r w:rsidRPr="00831412">
              <w:rPr>
                <w:b/>
                <w:sz w:val="20"/>
              </w:rPr>
              <w:t>Unit value (€)</w:t>
            </w:r>
          </w:p>
        </w:tc>
        <w:tc>
          <w:tcPr>
            <w:tcW w:w="1435" w:type="dxa"/>
            <w:shd w:val="clear" w:color="auto" w:fill="D9D9D9" w:themeFill="background1" w:themeFillShade="D9"/>
            <w:tcMar>
              <w:left w:w="103" w:type="dxa"/>
            </w:tcMar>
            <w:vAlign w:val="center"/>
          </w:tcPr>
          <w:p w:rsidR="00CD40E0" w:rsidRPr="00831412" w:rsidRDefault="00C214A5">
            <w:pPr>
              <w:spacing w:after="0" w:line="240" w:lineRule="auto"/>
              <w:jc w:val="center"/>
              <w:rPr>
                <w:b/>
                <w:sz w:val="20"/>
              </w:rPr>
            </w:pPr>
            <w:r w:rsidRPr="00831412">
              <w:rPr>
                <w:b/>
                <w:sz w:val="20"/>
              </w:rPr>
              <w:t>Total cost (€)</w:t>
            </w:r>
          </w:p>
        </w:tc>
      </w:tr>
      <w:tr w:rsidR="00CD40E0" w:rsidTr="00831412">
        <w:tc>
          <w:tcPr>
            <w:tcW w:w="3403" w:type="dxa"/>
            <w:shd w:val="clear" w:color="auto" w:fill="auto"/>
            <w:vAlign w:val="center"/>
          </w:tcPr>
          <w:p w:rsidR="00CD40E0" w:rsidRDefault="00C214A5">
            <w:pPr>
              <w:spacing w:after="0" w:line="240" w:lineRule="auto"/>
              <w:rPr>
                <w:sz w:val="20"/>
              </w:rPr>
            </w:pPr>
            <w:r>
              <w:rPr>
                <w:sz w:val="20"/>
              </w:rPr>
              <w:t>3.1.1. Box of 7 baiting stations</w:t>
            </w:r>
          </w:p>
        </w:tc>
        <w:tc>
          <w:tcPr>
            <w:tcW w:w="1344" w:type="dxa"/>
            <w:shd w:val="clear" w:color="auto" w:fill="auto"/>
            <w:tcMar>
              <w:left w:w="98" w:type="dxa"/>
            </w:tcMar>
            <w:vAlign w:val="center"/>
          </w:tcPr>
          <w:p w:rsidR="00CD40E0" w:rsidRDefault="00C214A5">
            <w:pPr>
              <w:spacing w:after="0" w:line="240" w:lineRule="auto"/>
              <w:jc w:val="center"/>
              <w:rPr>
                <w:sz w:val="20"/>
              </w:rPr>
            </w:pPr>
            <w:r>
              <w:rPr>
                <w:sz w:val="20"/>
              </w:rPr>
              <w:t>per box</w:t>
            </w:r>
          </w:p>
        </w:tc>
        <w:tc>
          <w:tcPr>
            <w:tcW w:w="1494" w:type="dxa"/>
            <w:shd w:val="clear" w:color="auto" w:fill="auto"/>
            <w:tcMar>
              <w:left w:w="98" w:type="dxa"/>
            </w:tcMar>
            <w:vAlign w:val="center"/>
          </w:tcPr>
          <w:p w:rsidR="00CD40E0" w:rsidRDefault="00C214A5">
            <w:pPr>
              <w:spacing w:after="0" w:line="240" w:lineRule="auto"/>
              <w:jc w:val="center"/>
              <w:rPr>
                <w:sz w:val="20"/>
              </w:rPr>
            </w:pPr>
            <w:r>
              <w:rPr>
                <w:sz w:val="20"/>
              </w:rPr>
              <w:t>4</w:t>
            </w:r>
          </w:p>
        </w:tc>
        <w:tc>
          <w:tcPr>
            <w:tcW w:w="1495" w:type="dxa"/>
            <w:shd w:val="clear" w:color="auto" w:fill="auto"/>
            <w:tcMar>
              <w:left w:w="98" w:type="dxa"/>
            </w:tcMar>
            <w:vAlign w:val="center"/>
          </w:tcPr>
          <w:p w:rsidR="00CD40E0" w:rsidRDefault="00C214A5">
            <w:pPr>
              <w:spacing w:after="0" w:line="240" w:lineRule="auto"/>
              <w:jc w:val="center"/>
              <w:rPr>
                <w:sz w:val="20"/>
              </w:rPr>
            </w:pPr>
            <w:r>
              <w:rPr>
                <w:sz w:val="20"/>
              </w:rPr>
              <w:t>53.50</w:t>
            </w:r>
          </w:p>
        </w:tc>
        <w:tc>
          <w:tcPr>
            <w:tcW w:w="1435" w:type="dxa"/>
            <w:shd w:val="clear" w:color="auto" w:fill="auto"/>
            <w:tcMar>
              <w:left w:w="103" w:type="dxa"/>
            </w:tcMar>
            <w:vAlign w:val="center"/>
          </w:tcPr>
          <w:p w:rsidR="00CD40E0" w:rsidRDefault="00C214A5">
            <w:pPr>
              <w:spacing w:after="0" w:line="240" w:lineRule="auto"/>
              <w:jc w:val="center"/>
              <w:rPr>
                <w:sz w:val="20"/>
              </w:rPr>
            </w:pPr>
            <w:r>
              <w:rPr>
                <w:sz w:val="20"/>
              </w:rPr>
              <w:t>214</w:t>
            </w:r>
          </w:p>
        </w:tc>
      </w:tr>
    </w:tbl>
    <w:p w:rsidR="00831412" w:rsidRDefault="00831412" w:rsidP="00831412">
      <w:pPr>
        <w:pStyle w:val="Heading1"/>
        <w:spacing w:before="0" w:after="0"/>
        <w:rPr>
          <w:rFonts w:asciiTheme="minorHAnsi" w:hAnsiTheme="minorHAnsi" w:cs="Times New Roman"/>
          <w:b w:val="0"/>
          <w:color w:val="000000"/>
          <w:sz w:val="22"/>
          <w:szCs w:val="22"/>
        </w:rPr>
      </w:pPr>
    </w:p>
    <w:p w:rsidR="00831412" w:rsidRPr="00831412" w:rsidRDefault="00831412" w:rsidP="00831412">
      <w:pPr>
        <w:pStyle w:val="Heading1"/>
        <w:spacing w:before="0" w:after="0"/>
        <w:ind w:left="567"/>
        <w:jc w:val="both"/>
        <w:rPr>
          <w:rFonts w:asciiTheme="minorHAnsi" w:hAnsiTheme="minorHAnsi"/>
          <w:b w:val="0"/>
          <w:sz w:val="22"/>
          <w:szCs w:val="22"/>
        </w:rPr>
      </w:pPr>
      <w:r w:rsidRPr="00831412">
        <w:rPr>
          <w:rFonts w:asciiTheme="minorHAnsi" w:hAnsiTheme="minorHAnsi" w:cs="Times New Roman"/>
          <w:b w:val="0"/>
          <w:color w:val="000000"/>
          <w:sz w:val="22"/>
          <w:szCs w:val="22"/>
        </w:rPr>
        <w:t xml:space="preserve">If changes result in the total actual cost incurred being higher than the amount in the project budget this can be reflected in the financial report, however it should be noted that </w:t>
      </w:r>
      <w:r w:rsidRPr="00831412">
        <w:rPr>
          <w:rFonts w:asciiTheme="minorHAnsi" w:hAnsiTheme="minorHAnsi" w:cs="Times New Roman"/>
          <w:color w:val="000000"/>
          <w:sz w:val="22"/>
          <w:szCs w:val="22"/>
          <w:u w:val="single"/>
        </w:rPr>
        <w:t>the BEST 2.0 grant is capped at the amount stated in Article 1 of the Special Conditions</w:t>
      </w:r>
      <w:r w:rsidRPr="00831412">
        <w:rPr>
          <w:rFonts w:asciiTheme="minorHAnsi" w:hAnsiTheme="minorHAnsi" w:cs="Times New Roman"/>
          <w:b w:val="0"/>
          <w:color w:val="000000"/>
          <w:sz w:val="22"/>
          <w:szCs w:val="22"/>
        </w:rPr>
        <w:t>, the value of the BEST 2.0 grant cannot be increased under any condition and any expenditure over this amount is borne by the beneficiary(ies).</w:t>
      </w:r>
    </w:p>
    <w:p w:rsidR="00CD40E0" w:rsidRDefault="00C214A5">
      <w:pPr>
        <w:pStyle w:val="Heading1"/>
        <w:numPr>
          <w:ilvl w:val="0"/>
          <w:numId w:val="4"/>
        </w:numPr>
        <w:ind w:left="851" w:hanging="851"/>
      </w:pPr>
      <w:r>
        <w:t>Currency conversion.</w:t>
      </w:r>
    </w:p>
    <w:p w:rsidR="00CD40E0" w:rsidRDefault="00C214A5">
      <w:pPr>
        <w:spacing w:after="0" w:line="240" w:lineRule="auto"/>
        <w:ind w:left="567"/>
        <w:rPr>
          <w:b/>
          <w:bCs/>
          <w:szCs w:val="23"/>
        </w:rPr>
      </w:pPr>
      <w:r>
        <w:rPr>
          <w:b/>
          <w:bCs/>
          <w:szCs w:val="23"/>
        </w:rPr>
        <w:t>VII.1. Exchange rate for reporting</w:t>
      </w:r>
    </w:p>
    <w:p w:rsidR="00CD40E0" w:rsidRDefault="00CD40E0">
      <w:pPr>
        <w:spacing w:after="0" w:line="240" w:lineRule="auto"/>
        <w:ind w:left="567"/>
        <w:jc w:val="both"/>
        <w:rPr>
          <w:rFonts w:cs="Times New Roman"/>
          <w:color w:val="000000"/>
        </w:rPr>
      </w:pPr>
    </w:p>
    <w:p w:rsidR="00CD40E0" w:rsidRDefault="00C214A5">
      <w:pPr>
        <w:spacing w:after="0" w:line="240" w:lineRule="auto"/>
        <w:ind w:left="567"/>
        <w:jc w:val="both"/>
        <w:rPr>
          <w:rFonts w:cs="Times New Roman"/>
          <w:color w:val="000000"/>
        </w:rPr>
      </w:pPr>
      <w:r>
        <w:rPr>
          <w:rFonts w:cs="Times New Roman"/>
          <w:color w:val="000000"/>
        </w:rPr>
        <w:t xml:space="preserve">This provision applies </w:t>
      </w:r>
      <w:r w:rsidRPr="00831412">
        <w:rPr>
          <w:rFonts w:cs="Times New Roman"/>
          <w:b/>
          <w:color w:val="000000"/>
          <w:u w:val="single"/>
        </w:rPr>
        <w:t>only</w:t>
      </w:r>
      <w:r>
        <w:rPr>
          <w:rFonts w:cs="Times New Roman"/>
          <w:color w:val="000000"/>
        </w:rPr>
        <w:t xml:space="preserve"> if the accounts of your organization are kept </w:t>
      </w:r>
      <w:r>
        <w:rPr>
          <w:rFonts w:cs="Times New Roman"/>
          <w:b/>
          <w:color w:val="000000"/>
          <w:highlight w:val="green"/>
        </w:rPr>
        <w:t>in a currency different</w:t>
      </w:r>
      <w:r>
        <w:rPr>
          <w:rFonts w:cs="Times New Roman"/>
          <w:b/>
          <w:color w:val="000000"/>
        </w:rPr>
        <w:t xml:space="preserve"> </w:t>
      </w:r>
      <w:r>
        <w:rPr>
          <w:rFonts w:cs="Times New Roman"/>
          <w:color w:val="000000"/>
        </w:rPr>
        <w:t>from the one of the contract (i.e. not EUR) In other cases there is no need to convert currencies as the books of accounts and the financial report are already in the currency of the contract.</w:t>
      </w:r>
    </w:p>
    <w:p w:rsidR="00CD40E0" w:rsidRDefault="00CD40E0">
      <w:pPr>
        <w:spacing w:after="0" w:line="240" w:lineRule="auto"/>
        <w:ind w:left="567"/>
        <w:jc w:val="both"/>
        <w:rPr>
          <w:b/>
          <w:bCs/>
          <w:sz w:val="23"/>
          <w:szCs w:val="23"/>
        </w:rPr>
      </w:pPr>
    </w:p>
    <w:p w:rsidR="00CD40E0" w:rsidRDefault="00C214A5">
      <w:pPr>
        <w:spacing w:after="0" w:line="240" w:lineRule="auto"/>
        <w:ind w:left="567"/>
        <w:jc w:val="both"/>
      </w:pPr>
      <w:r>
        <w:rPr>
          <w:rFonts w:cs="Times New Roman"/>
          <w:color w:val="000000"/>
        </w:rPr>
        <w:t xml:space="preserve">The costs have to be converted using the </w:t>
      </w:r>
      <w:r w:rsidRPr="00831412">
        <w:rPr>
          <w:rFonts w:cs="Times New Roman"/>
          <w:b/>
          <w:color w:val="000000"/>
          <w:u w:val="single"/>
        </w:rPr>
        <w:t>same exchange rate as that used when the pre-financing payment was recorded in the organization accounts.</w:t>
      </w:r>
    </w:p>
    <w:p w:rsidR="00CD40E0" w:rsidRDefault="00CD40E0">
      <w:pPr>
        <w:spacing w:after="0" w:line="240" w:lineRule="auto"/>
        <w:ind w:left="567"/>
        <w:jc w:val="both"/>
        <w:rPr>
          <w:rFonts w:cs="Times New Roman"/>
          <w:color w:val="000000"/>
        </w:rPr>
      </w:pPr>
    </w:p>
    <w:p w:rsidR="00CD40E0" w:rsidRDefault="00C214A5">
      <w:pPr>
        <w:spacing w:after="0" w:line="240" w:lineRule="auto"/>
        <w:ind w:left="567"/>
        <w:jc w:val="both"/>
        <w:rPr>
          <w:rFonts w:cs="Times New Roman"/>
          <w:color w:val="000000"/>
        </w:rPr>
      </w:pPr>
      <w:r>
        <w:rPr>
          <w:rFonts w:cs="Times New Roman"/>
          <w:color w:val="000000"/>
        </w:rPr>
        <w:t xml:space="preserve">At the time of reporting, this exchange rate will then be used to convert all expenses in the reporting period into the currency of the contract. </w:t>
      </w:r>
    </w:p>
    <w:p w:rsidR="00CD40E0" w:rsidRDefault="00CD40E0">
      <w:pPr>
        <w:spacing w:after="0" w:line="240" w:lineRule="auto"/>
        <w:ind w:left="567"/>
        <w:jc w:val="both"/>
        <w:rPr>
          <w:rFonts w:cs="Times New Roman"/>
          <w:color w:val="000000"/>
        </w:rPr>
      </w:pPr>
    </w:p>
    <w:p w:rsidR="00CD40E0" w:rsidRDefault="00C214A5">
      <w:pPr>
        <w:spacing w:after="0" w:line="240" w:lineRule="auto"/>
        <w:ind w:left="567"/>
        <w:jc w:val="both"/>
        <w:rPr>
          <w:rFonts w:cs="Times New Roman"/>
          <w:color w:val="000000"/>
        </w:rPr>
      </w:pPr>
      <w:r>
        <w:rPr>
          <w:rFonts w:cs="Times New Roman"/>
          <w:color w:val="000000"/>
        </w:rPr>
        <w:t>The rate is applied to the total of each budget line as resulting from the balance of the accounts, and the unit values may be derived accordingly.</w:t>
      </w:r>
    </w:p>
    <w:p w:rsidR="00CD40E0" w:rsidRDefault="00CD40E0">
      <w:pPr>
        <w:spacing w:after="0" w:line="240" w:lineRule="auto"/>
        <w:ind w:left="567"/>
        <w:jc w:val="both"/>
        <w:rPr>
          <w:rFonts w:cs="Times New Roman"/>
          <w:color w:val="000000"/>
        </w:rPr>
      </w:pPr>
    </w:p>
    <w:p w:rsidR="00CD40E0" w:rsidRDefault="00C214A5">
      <w:pPr>
        <w:spacing w:after="0" w:line="240" w:lineRule="auto"/>
        <w:ind w:left="567"/>
        <w:jc w:val="both"/>
        <w:rPr>
          <w:rFonts w:cs="Times New Roman"/>
          <w:color w:val="000000"/>
        </w:rPr>
      </w:pPr>
      <w:r>
        <w:rPr>
          <w:rFonts w:cs="Times New Roman"/>
          <w:color w:val="000000"/>
        </w:rPr>
        <w:t>If there is a carry-over balance from a prior pre-financing, the expenditure is first converted into Euro using the exchange rate used when this prior pre-financing was recorded, until exhaustion of this balance. Then, the exchange rate of the following instalment will be used. This method is commonly known as “First In First Out”.</w:t>
      </w:r>
    </w:p>
    <w:p w:rsidR="00CD40E0" w:rsidRDefault="00CD40E0">
      <w:pPr>
        <w:spacing w:after="0" w:line="240" w:lineRule="auto"/>
        <w:ind w:left="567"/>
        <w:rPr>
          <w:b/>
          <w:bCs/>
          <w:szCs w:val="23"/>
        </w:rPr>
      </w:pPr>
    </w:p>
    <w:p w:rsidR="00CD40E0" w:rsidRDefault="00C214A5">
      <w:pPr>
        <w:spacing w:after="0" w:line="240" w:lineRule="auto"/>
        <w:ind w:left="567"/>
        <w:rPr>
          <w:b/>
          <w:bCs/>
          <w:szCs w:val="23"/>
        </w:rPr>
      </w:pPr>
      <w:r>
        <w:rPr>
          <w:b/>
          <w:bCs/>
          <w:szCs w:val="23"/>
        </w:rPr>
        <w:t>Example:</w:t>
      </w:r>
    </w:p>
    <w:p w:rsidR="00CD40E0" w:rsidRDefault="00CD40E0">
      <w:pPr>
        <w:spacing w:after="0" w:line="240" w:lineRule="auto"/>
        <w:ind w:left="567"/>
        <w:rPr>
          <w:b/>
          <w:bCs/>
          <w:szCs w:val="23"/>
        </w:rPr>
      </w:pPr>
    </w:p>
    <w:p w:rsidR="00CD40E0" w:rsidRDefault="00C214A5">
      <w:pPr>
        <w:spacing w:after="0" w:line="240" w:lineRule="auto"/>
        <w:ind w:hanging="709"/>
        <w:rPr>
          <w:b/>
          <w:bCs/>
          <w:szCs w:val="23"/>
        </w:rPr>
      </w:pPr>
      <w:r>
        <w:rPr>
          <w:noProof/>
          <w:lang w:eastAsia="en-GB"/>
        </w:rPr>
        <w:drawing>
          <wp:inline distT="0" distB="0" distL="0" distR="0" wp14:anchorId="534030DB" wp14:editId="609F158D">
            <wp:extent cx="6648450" cy="596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6648450" cy="5962650"/>
                    </a:xfrm>
                    <a:prstGeom prst="rect">
                      <a:avLst/>
                    </a:prstGeom>
                  </pic:spPr>
                </pic:pic>
              </a:graphicData>
            </a:graphic>
          </wp:inline>
        </w:drawing>
      </w:r>
    </w:p>
    <w:p w:rsidR="00CD40E0" w:rsidRDefault="00CD40E0">
      <w:pPr>
        <w:spacing w:after="0" w:line="240" w:lineRule="auto"/>
        <w:ind w:left="567"/>
        <w:rPr>
          <w:b/>
          <w:bCs/>
          <w:szCs w:val="23"/>
        </w:rPr>
      </w:pPr>
    </w:p>
    <w:p w:rsidR="00CD40E0" w:rsidRDefault="00CD40E0">
      <w:pPr>
        <w:spacing w:after="0" w:line="240" w:lineRule="auto"/>
        <w:ind w:left="567"/>
        <w:rPr>
          <w:b/>
          <w:bCs/>
          <w:szCs w:val="23"/>
        </w:rPr>
      </w:pPr>
    </w:p>
    <w:p w:rsidR="00CD40E0" w:rsidRDefault="00CD40E0">
      <w:pPr>
        <w:spacing w:after="0" w:line="240" w:lineRule="auto"/>
        <w:ind w:left="567"/>
        <w:rPr>
          <w:b/>
          <w:bCs/>
          <w:szCs w:val="23"/>
        </w:rPr>
      </w:pPr>
    </w:p>
    <w:p w:rsidR="00CD40E0" w:rsidRDefault="00C214A5">
      <w:pPr>
        <w:spacing w:after="0" w:line="240" w:lineRule="auto"/>
        <w:ind w:left="567"/>
        <w:rPr>
          <w:b/>
          <w:bCs/>
          <w:szCs w:val="23"/>
        </w:rPr>
      </w:pPr>
      <w:r>
        <w:rPr>
          <w:b/>
          <w:bCs/>
          <w:szCs w:val="23"/>
        </w:rPr>
        <w:lastRenderedPageBreak/>
        <w:t>VII.2. Exchange rate for accounting</w:t>
      </w:r>
    </w:p>
    <w:p w:rsidR="00CD40E0" w:rsidRDefault="00CD40E0">
      <w:pPr>
        <w:pStyle w:val="Default"/>
        <w:ind w:left="567"/>
        <w:jc w:val="both"/>
        <w:rPr>
          <w:rFonts w:asciiTheme="minorHAnsi" w:hAnsiTheme="minorHAnsi"/>
          <w:sz w:val="22"/>
          <w:szCs w:val="22"/>
        </w:rPr>
      </w:pPr>
    </w:p>
    <w:p w:rsidR="00CD40E0" w:rsidRDefault="00C214A5">
      <w:pPr>
        <w:pStyle w:val="Default"/>
        <w:ind w:left="567"/>
        <w:jc w:val="both"/>
      </w:pPr>
      <w:r>
        <w:rPr>
          <w:rFonts w:asciiTheme="minorHAnsi" w:hAnsiTheme="minorHAnsi"/>
          <w:sz w:val="22"/>
          <w:szCs w:val="22"/>
        </w:rPr>
        <w:t xml:space="preserve">If your accounts are kept in EUR and you incur expenditure in other currencies, the standard rates to be used to convert actual expenditure incurred in other currencies are based on the monthly InforEuro rate on the date of payment as published on: </w:t>
      </w:r>
      <w:bookmarkStart w:id="0" w:name="_GoBack"/>
      <w:bookmarkEnd w:id="0"/>
      <w:r w:rsidR="00EE436D">
        <w:rPr>
          <w:rFonts w:asciiTheme="minorHAnsi" w:hAnsiTheme="minorHAnsi"/>
          <w:b/>
          <w:sz w:val="22"/>
          <w:szCs w:val="22"/>
        </w:rPr>
        <w:fldChar w:fldCharType="begin"/>
      </w:r>
      <w:r w:rsidR="00EE436D">
        <w:rPr>
          <w:rFonts w:asciiTheme="minorHAnsi" w:hAnsiTheme="minorHAnsi"/>
          <w:b/>
          <w:sz w:val="22"/>
          <w:szCs w:val="22"/>
        </w:rPr>
        <w:instrText xml:space="preserve"> HYPERLINK "</w:instrText>
      </w:r>
      <w:r w:rsidR="00EE436D" w:rsidRPr="00EE436D">
        <w:rPr>
          <w:rFonts w:asciiTheme="minorHAnsi" w:hAnsiTheme="minorHAnsi"/>
          <w:b/>
          <w:sz w:val="22"/>
          <w:szCs w:val="22"/>
        </w:rPr>
        <w:instrText>http://ec.europa.eu/budget/contracts_grants/info_contracts/inforeuro/index_en.cfm</w:instrText>
      </w:r>
      <w:r w:rsidR="00EE436D">
        <w:rPr>
          <w:rFonts w:asciiTheme="minorHAnsi" w:hAnsiTheme="minorHAnsi"/>
          <w:b/>
          <w:sz w:val="22"/>
          <w:szCs w:val="22"/>
        </w:rPr>
        <w:instrText xml:space="preserve">" </w:instrText>
      </w:r>
      <w:r w:rsidR="00EE436D">
        <w:rPr>
          <w:rFonts w:asciiTheme="minorHAnsi" w:hAnsiTheme="minorHAnsi"/>
          <w:b/>
          <w:sz w:val="22"/>
          <w:szCs w:val="22"/>
        </w:rPr>
        <w:fldChar w:fldCharType="separate"/>
      </w:r>
      <w:r w:rsidR="00EE436D" w:rsidRPr="00493149">
        <w:rPr>
          <w:rStyle w:val="Hyperlink"/>
          <w:rFonts w:asciiTheme="minorHAnsi" w:hAnsiTheme="minorHAnsi"/>
          <w:b/>
          <w:sz w:val="22"/>
          <w:szCs w:val="22"/>
        </w:rPr>
        <w:t>http://ec.europa.eu/budget/contracts_grants/info_contracts/inforeuro/index_en.cfm</w:t>
      </w:r>
      <w:r w:rsidR="00EE436D">
        <w:rPr>
          <w:rFonts w:asciiTheme="minorHAnsi" w:hAnsiTheme="minorHAnsi"/>
          <w:b/>
          <w:sz w:val="22"/>
          <w:szCs w:val="22"/>
        </w:rPr>
        <w:fldChar w:fldCharType="end"/>
      </w:r>
      <w:r w:rsidR="00EE436D">
        <w:rPr>
          <w:rFonts w:asciiTheme="minorHAnsi" w:hAnsiTheme="minorHAnsi"/>
          <w:sz w:val="22"/>
          <w:szCs w:val="22"/>
        </w:rPr>
        <w:t xml:space="preserve"> </w:t>
      </w:r>
    </w:p>
    <w:p w:rsidR="00CD40E0" w:rsidRDefault="00C214A5">
      <w:pPr>
        <w:pStyle w:val="Heading1"/>
        <w:numPr>
          <w:ilvl w:val="0"/>
          <w:numId w:val="4"/>
        </w:numPr>
        <w:ind w:left="851" w:hanging="851"/>
      </w:pPr>
      <w:r>
        <w:t>Financial reports</w:t>
      </w:r>
    </w:p>
    <w:p w:rsidR="00CD40E0" w:rsidRDefault="00C214A5" w:rsidP="00083DBC">
      <w:pPr>
        <w:pStyle w:val="ListParagraph"/>
        <w:spacing w:after="0" w:line="240" w:lineRule="auto"/>
        <w:ind w:left="567"/>
        <w:jc w:val="both"/>
        <w:rPr>
          <w:rFonts w:cs="Times New Roman"/>
          <w:color w:val="000000"/>
        </w:rPr>
      </w:pPr>
      <w:r>
        <w:rPr>
          <w:rFonts w:cs="Times New Roman"/>
          <w:color w:val="000000"/>
        </w:rPr>
        <w:t>Financial reports must be properly and easily reconciled to the accounting and bookkeeping system and to the underlying accounting and other relevant records. For this purpose the Beneficiary shall prepare and keep appropriate reconciliations, supporting schedules, analyses and breakdowns for inspection and verification.</w:t>
      </w:r>
    </w:p>
    <w:p w:rsidR="00CD40E0" w:rsidRDefault="00CD40E0" w:rsidP="00083DBC">
      <w:pPr>
        <w:pStyle w:val="ListParagraph"/>
        <w:spacing w:after="0" w:line="240" w:lineRule="auto"/>
        <w:ind w:left="567"/>
        <w:jc w:val="both"/>
        <w:rPr>
          <w:rFonts w:cs="Times New Roman"/>
          <w:color w:val="000000"/>
        </w:rPr>
      </w:pPr>
    </w:p>
    <w:p w:rsidR="00CD40E0" w:rsidRPr="00422817" w:rsidRDefault="00C214A5" w:rsidP="00083DBC">
      <w:pPr>
        <w:pStyle w:val="ListParagraph"/>
        <w:spacing w:after="0" w:line="240" w:lineRule="auto"/>
        <w:ind w:left="567"/>
        <w:jc w:val="both"/>
        <w:rPr>
          <w:rFonts w:cs="Times New Roman"/>
          <w:color w:val="000000"/>
        </w:rPr>
      </w:pPr>
      <w:r w:rsidRPr="00422817">
        <w:rPr>
          <w:rFonts w:cs="Times New Roman"/>
          <w:color w:val="000000"/>
        </w:rPr>
        <w:t xml:space="preserve">The reporting requirements are set out in Article 6 </w:t>
      </w:r>
      <w:r w:rsidRPr="0072011B">
        <w:rPr>
          <w:rFonts w:cs="Times New Roman"/>
          <w:color w:val="000000"/>
        </w:rPr>
        <w:t>of the Special Conditions of the Grant Agreement.</w:t>
      </w:r>
    </w:p>
    <w:p w:rsidR="00CD40E0" w:rsidRPr="00282891" w:rsidRDefault="00CD40E0" w:rsidP="00083DBC">
      <w:pPr>
        <w:pStyle w:val="ListParagraph"/>
        <w:spacing w:after="0" w:line="240" w:lineRule="auto"/>
        <w:ind w:left="567"/>
        <w:jc w:val="both"/>
        <w:rPr>
          <w:b/>
          <w:bCs/>
        </w:rPr>
      </w:pPr>
    </w:p>
    <w:p w:rsidR="00CD40E0" w:rsidRPr="00282891" w:rsidRDefault="00C214A5" w:rsidP="00083DBC">
      <w:pPr>
        <w:spacing w:after="0" w:line="240" w:lineRule="auto"/>
        <w:ind w:left="567"/>
        <w:jc w:val="both"/>
        <w:rPr>
          <w:b/>
          <w:bCs/>
        </w:rPr>
      </w:pPr>
      <w:r w:rsidRPr="00282891">
        <w:rPr>
          <w:bCs/>
        </w:rPr>
        <w:t>The financial reporting documentation required to be submitted for each period consists of:</w:t>
      </w:r>
    </w:p>
    <w:p w:rsidR="00CD40E0" w:rsidRPr="00422817" w:rsidRDefault="00C214A5" w:rsidP="00083DBC">
      <w:pPr>
        <w:pStyle w:val="ListParagraph"/>
        <w:numPr>
          <w:ilvl w:val="3"/>
          <w:numId w:val="1"/>
        </w:numPr>
        <w:spacing w:before="60" w:after="60" w:line="240" w:lineRule="auto"/>
        <w:ind w:left="1417" w:hanging="425"/>
        <w:jc w:val="both"/>
      </w:pPr>
      <w:r w:rsidRPr="00282891">
        <w:rPr>
          <w:bCs/>
        </w:rPr>
        <w:t xml:space="preserve">Financial report for the period </w:t>
      </w:r>
    </w:p>
    <w:p w:rsidR="00CD40E0" w:rsidRPr="00282891" w:rsidRDefault="00C214A5" w:rsidP="00083DBC">
      <w:pPr>
        <w:pStyle w:val="ListParagraph"/>
        <w:numPr>
          <w:ilvl w:val="3"/>
          <w:numId w:val="1"/>
        </w:numPr>
        <w:spacing w:before="60" w:after="60" w:line="240" w:lineRule="auto"/>
        <w:ind w:left="1417" w:hanging="425"/>
        <w:jc w:val="both"/>
        <w:rPr>
          <w:b/>
          <w:bCs/>
        </w:rPr>
      </w:pPr>
      <w:r w:rsidRPr="00282891">
        <w:rPr>
          <w:bCs/>
        </w:rPr>
        <w:t>Complete transactions listing and staff costs table</w:t>
      </w:r>
    </w:p>
    <w:p w:rsidR="00CD40E0" w:rsidRPr="00282891" w:rsidRDefault="00C214A5" w:rsidP="00083DBC">
      <w:pPr>
        <w:pStyle w:val="ListParagraph"/>
        <w:numPr>
          <w:ilvl w:val="3"/>
          <w:numId w:val="1"/>
        </w:numPr>
        <w:spacing w:before="60" w:after="60" w:line="240" w:lineRule="auto"/>
        <w:ind w:left="1417" w:hanging="425"/>
        <w:jc w:val="both"/>
        <w:rPr>
          <w:b/>
          <w:bCs/>
        </w:rPr>
      </w:pPr>
      <w:r w:rsidRPr="00282891">
        <w:rPr>
          <w:bCs/>
        </w:rPr>
        <w:t>With each Interim Financial report - a forecast of expenditure for the next reporting period</w:t>
      </w:r>
    </w:p>
    <w:p w:rsidR="00CD40E0" w:rsidRPr="00422817" w:rsidRDefault="00C214A5" w:rsidP="00083DBC">
      <w:pPr>
        <w:pStyle w:val="ListParagraph"/>
        <w:numPr>
          <w:ilvl w:val="3"/>
          <w:numId w:val="1"/>
        </w:numPr>
        <w:spacing w:after="0" w:line="240" w:lineRule="auto"/>
        <w:ind w:left="1417" w:hanging="425"/>
        <w:jc w:val="both"/>
      </w:pPr>
      <w:r w:rsidRPr="00282891">
        <w:rPr>
          <w:bCs/>
        </w:rPr>
        <w:t>Payment request</w:t>
      </w:r>
    </w:p>
    <w:p w:rsidR="00CD40E0" w:rsidRPr="00282891" w:rsidRDefault="00CD40E0" w:rsidP="00083DBC">
      <w:pPr>
        <w:spacing w:after="0" w:line="240" w:lineRule="auto"/>
        <w:jc w:val="both"/>
        <w:rPr>
          <w:bCs/>
        </w:rPr>
      </w:pPr>
    </w:p>
    <w:p w:rsidR="00CD40E0" w:rsidRPr="00422817" w:rsidRDefault="00C214A5" w:rsidP="00083DBC">
      <w:pPr>
        <w:spacing w:after="0" w:line="240" w:lineRule="auto"/>
        <w:ind w:left="567"/>
        <w:jc w:val="both"/>
      </w:pPr>
      <w:r w:rsidRPr="00282891">
        <w:rPr>
          <w:bCs/>
        </w:rPr>
        <w:t xml:space="preserve">Templates for the financial report, transaction listing and staff costs table, and the payment request are available on the </w:t>
      </w:r>
      <w:hyperlink r:id="rId12">
        <w:r w:rsidRPr="00282891">
          <w:rPr>
            <w:rStyle w:val="LienInternet"/>
            <w:bCs/>
          </w:rPr>
          <w:t>BEST 2.0 Portal</w:t>
        </w:r>
      </w:hyperlink>
      <w:r w:rsidRPr="00282891">
        <w:rPr>
          <w:bCs/>
        </w:rPr>
        <w:t>.</w:t>
      </w:r>
    </w:p>
    <w:p w:rsidR="00CD40E0" w:rsidRDefault="00C214A5">
      <w:pPr>
        <w:pStyle w:val="Heading1"/>
        <w:numPr>
          <w:ilvl w:val="0"/>
          <w:numId w:val="4"/>
        </w:numPr>
      </w:pPr>
      <w:r>
        <w:t>Supporting documents:</w:t>
      </w:r>
    </w:p>
    <w:p w:rsidR="00CD40E0" w:rsidRDefault="00C214A5" w:rsidP="00083DBC">
      <w:pPr>
        <w:spacing w:after="0" w:line="240" w:lineRule="auto"/>
        <w:ind w:left="567"/>
        <w:jc w:val="both"/>
        <w:rPr>
          <w:rFonts w:cs="Arial"/>
          <w:i/>
        </w:rPr>
      </w:pPr>
      <w:r>
        <w:rPr>
          <w:rFonts w:cs="Arial"/>
          <w:i/>
        </w:rPr>
        <w:t xml:space="preserve">This list is not exhaustive and is provided as an indication of the documentation subject to audit. </w:t>
      </w:r>
    </w:p>
    <w:p w:rsidR="005F06CB" w:rsidRDefault="005F06CB" w:rsidP="00083DBC">
      <w:pPr>
        <w:spacing w:after="0" w:line="240" w:lineRule="auto"/>
        <w:ind w:left="567"/>
        <w:jc w:val="both"/>
        <w:rPr>
          <w:rFonts w:cs="Arial"/>
          <w:i/>
        </w:rPr>
      </w:pPr>
    </w:p>
    <w:p w:rsidR="005F06CB" w:rsidRPr="005F06CB" w:rsidRDefault="005F06CB" w:rsidP="00083DBC">
      <w:pPr>
        <w:spacing w:after="0" w:line="240" w:lineRule="auto"/>
        <w:ind w:left="567"/>
        <w:jc w:val="both"/>
        <w:rPr>
          <w:rFonts w:cs="Arial"/>
          <w:b/>
          <w:i/>
        </w:rPr>
      </w:pPr>
      <w:r w:rsidRPr="005F06CB">
        <w:rPr>
          <w:rFonts w:cs="Arial"/>
          <w:b/>
          <w:i/>
        </w:rPr>
        <w:t>General</w:t>
      </w:r>
    </w:p>
    <w:p w:rsidR="00CD40E0" w:rsidRPr="00831412" w:rsidRDefault="005F06CB" w:rsidP="00A601E6">
      <w:pPr>
        <w:numPr>
          <w:ilvl w:val="0"/>
          <w:numId w:val="8"/>
        </w:numPr>
        <w:spacing w:after="0" w:line="240" w:lineRule="auto"/>
        <w:ind w:left="1327" w:hanging="357"/>
        <w:jc w:val="both"/>
        <w:rPr>
          <w:rFonts w:cs="Arial"/>
        </w:rPr>
      </w:pPr>
      <w:r w:rsidRPr="00831412">
        <w:rPr>
          <w:rFonts w:cs="Arial"/>
        </w:rPr>
        <w:t>Photos of field work (photos before, during and after the work) carried out by the project beneficiaries, or by sub-contractors, should be maintained as evidence of completion of the project activities. Relevant photos should accompany the written description of the project activities in the technical reports submitted to the BEST 2.0 Secretariat.</w:t>
      </w:r>
    </w:p>
    <w:p w:rsidR="00CD40E0" w:rsidRDefault="00CD40E0" w:rsidP="00083DBC">
      <w:pPr>
        <w:spacing w:after="0" w:line="240" w:lineRule="auto"/>
        <w:jc w:val="both"/>
        <w:rPr>
          <w:rFonts w:cs="Arial"/>
        </w:rPr>
      </w:pPr>
    </w:p>
    <w:p w:rsidR="00CD40E0" w:rsidRDefault="00C214A5" w:rsidP="00083DBC">
      <w:pPr>
        <w:pStyle w:val="ListParagraph"/>
        <w:numPr>
          <w:ilvl w:val="0"/>
          <w:numId w:val="5"/>
        </w:numPr>
        <w:spacing w:after="0" w:line="240" w:lineRule="auto"/>
        <w:ind w:left="1276" w:hanging="425"/>
        <w:jc w:val="both"/>
        <w:rPr>
          <w:rFonts w:cs="Arial"/>
        </w:rPr>
      </w:pPr>
      <w:r>
        <w:rPr>
          <w:rFonts w:cs="Arial"/>
          <w:b/>
        </w:rPr>
        <w:t>Staff costs – heading “Human Resources”</w:t>
      </w:r>
    </w:p>
    <w:p w:rsidR="00CD40E0" w:rsidRDefault="00C214A5" w:rsidP="00083DBC">
      <w:pPr>
        <w:pStyle w:val="ListParagraph"/>
        <w:numPr>
          <w:ilvl w:val="1"/>
          <w:numId w:val="5"/>
        </w:numPr>
        <w:spacing w:after="0" w:line="240" w:lineRule="auto"/>
        <w:ind w:left="1843" w:hanging="425"/>
        <w:jc w:val="both"/>
        <w:rPr>
          <w:rFonts w:cs="Arial"/>
        </w:rPr>
      </w:pPr>
      <w:r>
        <w:rPr>
          <w:rFonts w:cs="Arial"/>
        </w:rPr>
        <w:t>Employment contract.</w:t>
      </w:r>
    </w:p>
    <w:p w:rsidR="00CD40E0" w:rsidRDefault="00C214A5" w:rsidP="00083DBC">
      <w:pPr>
        <w:pStyle w:val="ListParagraph"/>
        <w:numPr>
          <w:ilvl w:val="1"/>
          <w:numId w:val="5"/>
        </w:numPr>
        <w:spacing w:after="0" w:line="240" w:lineRule="auto"/>
        <w:ind w:left="1843" w:hanging="425"/>
        <w:jc w:val="both"/>
        <w:rPr>
          <w:rFonts w:cs="Arial"/>
        </w:rPr>
      </w:pPr>
      <w:r>
        <w:rPr>
          <w:rFonts w:cs="Arial"/>
        </w:rPr>
        <w:t>Pay-slips.</w:t>
      </w:r>
    </w:p>
    <w:p w:rsidR="00CD40E0" w:rsidRDefault="00C214A5" w:rsidP="00083DBC">
      <w:pPr>
        <w:pStyle w:val="ListParagraph"/>
        <w:numPr>
          <w:ilvl w:val="1"/>
          <w:numId w:val="5"/>
        </w:numPr>
        <w:spacing w:after="0" w:line="240" w:lineRule="auto"/>
        <w:ind w:left="1843" w:hanging="425"/>
        <w:jc w:val="both"/>
        <w:rPr>
          <w:rFonts w:cs="Arial"/>
        </w:rPr>
      </w:pPr>
      <w:r>
        <w:rPr>
          <w:rFonts w:cs="Arial"/>
        </w:rPr>
        <w:t>Time-sheets dated and signed.</w:t>
      </w:r>
    </w:p>
    <w:p w:rsidR="00CD40E0" w:rsidRDefault="00C214A5" w:rsidP="00083DBC">
      <w:pPr>
        <w:pStyle w:val="ListParagraph"/>
        <w:numPr>
          <w:ilvl w:val="1"/>
          <w:numId w:val="5"/>
        </w:numPr>
        <w:spacing w:after="0" w:line="240" w:lineRule="auto"/>
        <w:ind w:left="1843" w:hanging="425"/>
        <w:jc w:val="both"/>
        <w:rPr>
          <w:rFonts w:cs="Arial"/>
        </w:rPr>
      </w:pPr>
      <w:r>
        <w:rPr>
          <w:rFonts w:cs="Arial"/>
        </w:rPr>
        <w:t>Breakdown into gross salary, social security charges, insurance and net salary.</w:t>
      </w:r>
    </w:p>
    <w:p w:rsidR="00CD40E0" w:rsidRDefault="00C214A5" w:rsidP="00083DBC">
      <w:pPr>
        <w:pStyle w:val="ListParagraph"/>
        <w:numPr>
          <w:ilvl w:val="1"/>
          <w:numId w:val="5"/>
        </w:numPr>
        <w:spacing w:line="240" w:lineRule="auto"/>
        <w:ind w:left="1843" w:hanging="425"/>
        <w:jc w:val="both"/>
        <w:rPr>
          <w:rFonts w:cs="Arial"/>
        </w:rPr>
      </w:pPr>
      <w:r>
        <w:rPr>
          <w:rFonts w:cs="Arial"/>
        </w:rPr>
        <w:t>Proof of income tax, social charges, insurances, etc. payroll related disbursements by the employer.</w:t>
      </w:r>
    </w:p>
    <w:p w:rsidR="00CD40E0" w:rsidRDefault="00CD40E0" w:rsidP="00083DBC">
      <w:pPr>
        <w:pStyle w:val="ListParagraph"/>
        <w:spacing w:line="240" w:lineRule="auto"/>
        <w:ind w:left="1276" w:hanging="425"/>
        <w:jc w:val="both"/>
        <w:rPr>
          <w:rFonts w:cs="Arial"/>
        </w:rPr>
      </w:pPr>
    </w:p>
    <w:p w:rsidR="00CD40E0" w:rsidRDefault="00C214A5" w:rsidP="00083DBC">
      <w:pPr>
        <w:pStyle w:val="ListParagraph"/>
        <w:numPr>
          <w:ilvl w:val="0"/>
          <w:numId w:val="5"/>
        </w:numPr>
        <w:spacing w:after="0" w:line="240" w:lineRule="auto"/>
        <w:ind w:left="1276" w:hanging="425"/>
        <w:jc w:val="both"/>
        <w:rPr>
          <w:rFonts w:cs="Arial"/>
          <w:b/>
        </w:rPr>
      </w:pPr>
      <w:r>
        <w:rPr>
          <w:rFonts w:cs="Arial"/>
          <w:b/>
        </w:rPr>
        <w:t>Per diems – heading “Human Resources”</w:t>
      </w:r>
    </w:p>
    <w:p w:rsidR="00CD40E0" w:rsidRDefault="00C214A5" w:rsidP="00083DBC">
      <w:pPr>
        <w:pStyle w:val="ListParagraph"/>
        <w:numPr>
          <w:ilvl w:val="1"/>
          <w:numId w:val="5"/>
        </w:numPr>
        <w:spacing w:after="0" w:line="240" w:lineRule="auto"/>
        <w:ind w:left="1843" w:hanging="425"/>
        <w:jc w:val="both"/>
        <w:rPr>
          <w:rFonts w:cs="Arial"/>
          <w:b/>
        </w:rPr>
      </w:pPr>
      <w:r>
        <w:rPr>
          <w:rFonts w:cs="Arial"/>
        </w:rPr>
        <w:t>If actual costs are used – all receipts and invoices and a table summarizing them.</w:t>
      </w:r>
    </w:p>
    <w:p w:rsidR="00CD40E0" w:rsidRDefault="00C214A5" w:rsidP="00083DBC">
      <w:pPr>
        <w:pStyle w:val="ListParagraph"/>
        <w:numPr>
          <w:ilvl w:val="1"/>
          <w:numId w:val="5"/>
        </w:numPr>
        <w:spacing w:after="0" w:line="240" w:lineRule="auto"/>
        <w:ind w:left="1843" w:hanging="425"/>
        <w:jc w:val="both"/>
        <w:rPr>
          <w:rFonts w:cs="Arial"/>
        </w:rPr>
      </w:pPr>
      <w:r>
        <w:rPr>
          <w:rFonts w:cs="Arial"/>
        </w:rPr>
        <w:lastRenderedPageBreak/>
        <w:t>If fixed per diem rates are used – proof of payment of the per diem and travel policy applied by the organization.</w:t>
      </w:r>
    </w:p>
    <w:p w:rsidR="00CD40E0" w:rsidRDefault="00C214A5" w:rsidP="00083DBC">
      <w:pPr>
        <w:pStyle w:val="ListParagraph"/>
        <w:numPr>
          <w:ilvl w:val="1"/>
          <w:numId w:val="5"/>
        </w:numPr>
        <w:spacing w:after="0" w:line="240" w:lineRule="auto"/>
        <w:ind w:left="1843" w:hanging="425"/>
        <w:jc w:val="both"/>
        <w:rPr>
          <w:rFonts w:cs="Arial"/>
        </w:rPr>
      </w:pPr>
      <w:r>
        <w:rPr>
          <w:rFonts w:cs="Arial"/>
        </w:rPr>
        <w:t>In all cases evidence of travel and evidence of purpose of travel.</w:t>
      </w:r>
    </w:p>
    <w:p w:rsidR="00CD40E0" w:rsidRDefault="00CD40E0" w:rsidP="00083DBC">
      <w:pPr>
        <w:spacing w:after="0" w:line="240" w:lineRule="auto"/>
        <w:ind w:left="1276" w:hanging="425"/>
        <w:jc w:val="both"/>
        <w:rPr>
          <w:rFonts w:cs="Arial"/>
        </w:rPr>
      </w:pPr>
    </w:p>
    <w:p w:rsidR="00CD40E0" w:rsidRDefault="00C214A5" w:rsidP="00083DBC">
      <w:pPr>
        <w:pStyle w:val="ListParagraph"/>
        <w:numPr>
          <w:ilvl w:val="0"/>
          <w:numId w:val="5"/>
        </w:numPr>
        <w:spacing w:after="0" w:line="240" w:lineRule="auto"/>
        <w:ind w:left="1276" w:hanging="425"/>
        <w:jc w:val="both"/>
        <w:rPr>
          <w:rFonts w:cs="Arial"/>
          <w:b/>
        </w:rPr>
      </w:pPr>
      <w:r>
        <w:rPr>
          <w:rFonts w:cs="Arial"/>
          <w:b/>
        </w:rPr>
        <w:t>Travel – heading “Travel”</w:t>
      </w:r>
    </w:p>
    <w:p w:rsidR="00CD40E0" w:rsidRDefault="00C214A5" w:rsidP="00083DBC">
      <w:pPr>
        <w:pStyle w:val="ListParagraph"/>
        <w:numPr>
          <w:ilvl w:val="1"/>
          <w:numId w:val="5"/>
        </w:numPr>
        <w:spacing w:after="0" w:line="240" w:lineRule="auto"/>
        <w:ind w:left="1843" w:hanging="425"/>
        <w:jc w:val="both"/>
        <w:rPr>
          <w:rFonts w:cs="Arial"/>
        </w:rPr>
      </w:pPr>
      <w:r>
        <w:rPr>
          <w:rFonts w:cs="Arial"/>
        </w:rPr>
        <w:t>Invoice or e-ticket clearly stating the price.</w:t>
      </w:r>
    </w:p>
    <w:p w:rsidR="00CD40E0" w:rsidRDefault="00C214A5" w:rsidP="00083DBC">
      <w:pPr>
        <w:pStyle w:val="ListParagraph"/>
        <w:numPr>
          <w:ilvl w:val="1"/>
          <w:numId w:val="5"/>
        </w:numPr>
        <w:spacing w:after="0" w:line="240" w:lineRule="auto"/>
        <w:ind w:left="1843" w:hanging="425"/>
        <w:jc w:val="both"/>
        <w:rPr>
          <w:rFonts w:cs="Arial"/>
        </w:rPr>
      </w:pPr>
      <w:r>
        <w:rPr>
          <w:rFonts w:cs="Arial"/>
        </w:rPr>
        <w:t>Boarding pass.</w:t>
      </w:r>
    </w:p>
    <w:p w:rsidR="00CD40E0" w:rsidRDefault="003178D2" w:rsidP="00083DBC">
      <w:pPr>
        <w:pStyle w:val="ListParagraph"/>
        <w:numPr>
          <w:ilvl w:val="1"/>
          <w:numId w:val="5"/>
        </w:numPr>
        <w:spacing w:after="0" w:line="240" w:lineRule="auto"/>
        <w:ind w:left="1843" w:hanging="425"/>
        <w:jc w:val="both"/>
        <w:rPr>
          <w:rFonts w:cs="Arial"/>
        </w:rPr>
      </w:pPr>
      <w:r>
        <w:rPr>
          <w:rFonts w:cs="Arial"/>
        </w:rPr>
        <w:t>Evidence of purpose of travel, such as personal invitation, agenda of the event, presentation, speaking point, etc.</w:t>
      </w:r>
    </w:p>
    <w:p w:rsidR="00CD40E0" w:rsidRDefault="00C214A5" w:rsidP="00083DBC">
      <w:pPr>
        <w:pStyle w:val="ListParagraph"/>
        <w:numPr>
          <w:ilvl w:val="1"/>
          <w:numId w:val="5"/>
        </w:numPr>
        <w:spacing w:line="240" w:lineRule="auto"/>
        <w:ind w:left="1843" w:hanging="425"/>
        <w:jc w:val="both"/>
        <w:rPr>
          <w:rFonts w:cs="Arial"/>
        </w:rPr>
      </w:pPr>
      <w:r>
        <w:rPr>
          <w:rFonts w:cs="Arial"/>
        </w:rPr>
        <w:t>Proof of stay on site - hotel invoice, rooming list, signed attendance list.</w:t>
      </w:r>
    </w:p>
    <w:p w:rsidR="005F06CB" w:rsidRDefault="005F06CB" w:rsidP="00083DBC">
      <w:pPr>
        <w:pStyle w:val="ListParagraph"/>
        <w:numPr>
          <w:ilvl w:val="1"/>
          <w:numId w:val="5"/>
        </w:numPr>
        <w:spacing w:line="240" w:lineRule="auto"/>
        <w:ind w:left="1843" w:hanging="425"/>
        <w:jc w:val="both"/>
        <w:rPr>
          <w:rFonts w:cs="Arial"/>
        </w:rPr>
      </w:pPr>
      <w:r w:rsidRPr="005F06CB">
        <w:rPr>
          <w:rFonts w:cs="Arial"/>
        </w:rPr>
        <w:t>Costs related to the use of a beneficiaries’ own vehicle</w:t>
      </w:r>
      <w:r>
        <w:rPr>
          <w:rFonts w:cs="Arial"/>
        </w:rPr>
        <w:t>(s)</w:t>
      </w:r>
      <w:r w:rsidRPr="005F06CB">
        <w:rPr>
          <w:rFonts w:cs="Arial"/>
        </w:rPr>
        <w:t xml:space="preserve"> must be supported by a vehicle logbook and should be calculated using the relevant published national</w:t>
      </w:r>
      <w:r w:rsidR="0015577E">
        <w:rPr>
          <w:rFonts w:cs="Arial"/>
        </w:rPr>
        <w:t>/territorial</w:t>
      </w:r>
      <w:r w:rsidRPr="005F06CB">
        <w:rPr>
          <w:rFonts w:cs="Arial"/>
        </w:rPr>
        <w:t xml:space="preserve"> rate for vehicle usage (where this is available).</w:t>
      </w:r>
    </w:p>
    <w:p w:rsidR="00CD40E0" w:rsidRDefault="00CD40E0" w:rsidP="00083DBC">
      <w:pPr>
        <w:pStyle w:val="ListParagraph"/>
        <w:spacing w:after="0" w:line="240" w:lineRule="auto"/>
        <w:ind w:left="1276" w:hanging="425"/>
        <w:jc w:val="both"/>
        <w:rPr>
          <w:rFonts w:cs="Arial"/>
        </w:rPr>
      </w:pPr>
    </w:p>
    <w:p w:rsidR="00CD40E0" w:rsidRDefault="00C214A5" w:rsidP="00083DBC">
      <w:pPr>
        <w:pStyle w:val="ListParagraph"/>
        <w:numPr>
          <w:ilvl w:val="0"/>
          <w:numId w:val="5"/>
        </w:numPr>
        <w:spacing w:after="0" w:line="240" w:lineRule="auto"/>
        <w:ind w:left="1276" w:hanging="425"/>
        <w:jc w:val="both"/>
        <w:rPr>
          <w:rFonts w:cs="Arial"/>
          <w:b/>
        </w:rPr>
      </w:pPr>
      <w:r>
        <w:rPr>
          <w:rFonts w:cs="Arial"/>
          <w:b/>
        </w:rPr>
        <w:t>Purchases – heading “Equipment and supplies”</w:t>
      </w:r>
    </w:p>
    <w:p w:rsidR="00CD40E0" w:rsidRDefault="00C214A5" w:rsidP="00083DBC">
      <w:pPr>
        <w:pStyle w:val="ListParagraph"/>
        <w:numPr>
          <w:ilvl w:val="1"/>
          <w:numId w:val="5"/>
        </w:numPr>
        <w:spacing w:after="0" w:line="240" w:lineRule="auto"/>
        <w:ind w:left="1843" w:hanging="425"/>
        <w:jc w:val="both"/>
        <w:rPr>
          <w:rFonts w:cs="Arial"/>
        </w:rPr>
      </w:pPr>
      <w:r>
        <w:rPr>
          <w:rFonts w:cs="Arial"/>
        </w:rPr>
        <w:t>Invoice.</w:t>
      </w:r>
    </w:p>
    <w:p w:rsidR="00CD40E0" w:rsidRDefault="00C214A5" w:rsidP="00083DBC">
      <w:pPr>
        <w:pStyle w:val="ListParagraph"/>
        <w:numPr>
          <w:ilvl w:val="1"/>
          <w:numId w:val="5"/>
        </w:numPr>
        <w:ind w:left="1843" w:hanging="425"/>
        <w:jc w:val="both"/>
        <w:rPr>
          <w:rFonts w:cs="Arial"/>
        </w:rPr>
      </w:pPr>
      <w:r>
        <w:rPr>
          <w:rFonts w:cs="Arial"/>
        </w:rPr>
        <w:t>Proof of payment of the invoice such as bank statements, debit notices, proof of settlement by the contractor</w:t>
      </w:r>
      <w:r w:rsidRPr="00083DBC">
        <w:rPr>
          <w:rFonts w:cs="Arial"/>
          <w:highlight w:val="green"/>
        </w:rPr>
        <w:t>*</w:t>
      </w:r>
      <w:r>
        <w:rPr>
          <w:rFonts w:cs="Arial"/>
        </w:rPr>
        <w:t xml:space="preserve">. </w:t>
      </w:r>
    </w:p>
    <w:p w:rsidR="00CD40E0" w:rsidRDefault="00C214A5" w:rsidP="00083DBC">
      <w:pPr>
        <w:pStyle w:val="ListParagraph"/>
        <w:numPr>
          <w:ilvl w:val="1"/>
          <w:numId w:val="5"/>
        </w:numPr>
        <w:spacing w:after="0" w:line="240" w:lineRule="auto"/>
        <w:ind w:left="1843" w:hanging="425"/>
        <w:jc w:val="both"/>
        <w:rPr>
          <w:rFonts w:cs="Arial"/>
        </w:rPr>
      </w:pPr>
      <w:r>
        <w:rPr>
          <w:rFonts w:cs="Arial"/>
        </w:rPr>
        <w:t>Proof of receipt of goods, such delivery slips from suppliers.</w:t>
      </w:r>
    </w:p>
    <w:p w:rsidR="00CD40E0" w:rsidRDefault="00C214A5" w:rsidP="00083DBC">
      <w:pPr>
        <w:pStyle w:val="ListParagraph"/>
        <w:numPr>
          <w:ilvl w:val="1"/>
          <w:numId w:val="5"/>
        </w:numPr>
        <w:spacing w:after="0" w:line="240" w:lineRule="auto"/>
        <w:ind w:left="1843" w:hanging="425"/>
        <w:jc w:val="both"/>
        <w:rPr>
          <w:rFonts w:cs="Arial"/>
        </w:rPr>
      </w:pPr>
      <w:r>
        <w:rPr>
          <w:rFonts w:cs="Arial"/>
        </w:rPr>
        <w:t>For fuel and oil expenses, a summary list of the distance covered, the average consumption of the vehicles used, fuel costs and maintenance costs.</w:t>
      </w:r>
    </w:p>
    <w:p w:rsidR="00CD40E0" w:rsidRDefault="00CD40E0" w:rsidP="00083DBC">
      <w:pPr>
        <w:pStyle w:val="ListParagraph"/>
        <w:spacing w:after="0" w:line="240" w:lineRule="auto"/>
        <w:ind w:left="1276" w:hanging="425"/>
        <w:jc w:val="both"/>
        <w:rPr>
          <w:rFonts w:cs="Arial"/>
        </w:rPr>
      </w:pPr>
    </w:p>
    <w:p w:rsidR="00CD40E0" w:rsidRDefault="00C214A5" w:rsidP="00083DBC">
      <w:pPr>
        <w:pStyle w:val="ListParagraph"/>
        <w:numPr>
          <w:ilvl w:val="0"/>
          <w:numId w:val="5"/>
        </w:numPr>
        <w:spacing w:after="0" w:line="240" w:lineRule="auto"/>
        <w:ind w:left="1276" w:hanging="425"/>
        <w:jc w:val="both"/>
        <w:rPr>
          <w:rFonts w:cs="Arial"/>
          <w:b/>
        </w:rPr>
      </w:pPr>
      <w:r>
        <w:rPr>
          <w:rFonts w:cs="Arial"/>
          <w:b/>
        </w:rPr>
        <w:t>Purchases – heading “Local office”</w:t>
      </w:r>
    </w:p>
    <w:p w:rsidR="00CD40E0" w:rsidRDefault="00C214A5" w:rsidP="00083DBC">
      <w:pPr>
        <w:pStyle w:val="ListParagraph"/>
        <w:numPr>
          <w:ilvl w:val="1"/>
          <w:numId w:val="5"/>
        </w:numPr>
        <w:spacing w:after="0" w:line="240" w:lineRule="auto"/>
        <w:ind w:left="1843" w:hanging="425"/>
        <w:jc w:val="both"/>
        <w:rPr>
          <w:rFonts w:cs="Arial"/>
        </w:rPr>
      </w:pPr>
      <w:r>
        <w:rPr>
          <w:rFonts w:cs="Arial"/>
        </w:rPr>
        <w:t>Invoice.</w:t>
      </w:r>
    </w:p>
    <w:p w:rsidR="00CD40E0" w:rsidRDefault="00C214A5" w:rsidP="00083DBC">
      <w:pPr>
        <w:pStyle w:val="ListParagraph"/>
        <w:numPr>
          <w:ilvl w:val="1"/>
          <w:numId w:val="5"/>
        </w:numPr>
        <w:spacing w:after="0" w:line="240" w:lineRule="auto"/>
        <w:ind w:left="1843" w:hanging="425"/>
        <w:jc w:val="both"/>
        <w:rPr>
          <w:rFonts w:cs="Arial"/>
        </w:rPr>
      </w:pPr>
      <w:r>
        <w:rPr>
          <w:rFonts w:cs="Arial"/>
        </w:rPr>
        <w:t>Proof of payment of the invoice.</w:t>
      </w:r>
    </w:p>
    <w:p w:rsidR="00CD40E0" w:rsidRDefault="00C214A5" w:rsidP="00083DBC">
      <w:pPr>
        <w:pStyle w:val="ListParagraph"/>
        <w:numPr>
          <w:ilvl w:val="1"/>
          <w:numId w:val="5"/>
        </w:numPr>
        <w:spacing w:after="0" w:line="240" w:lineRule="auto"/>
        <w:ind w:left="1843" w:hanging="425"/>
        <w:jc w:val="both"/>
        <w:rPr>
          <w:rFonts w:cs="Arial"/>
        </w:rPr>
      </w:pPr>
      <w:r>
        <w:rPr>
          <w:rFonts w:cs="Arial"/>
        </w:rPr>
        <w:t>Rental agreement.</w:t>
      </w:r>
    </w:p>
    <w:p w:rsidR="005F06CB" w:rsidRPr="00831412" w:rsidRDefault="005F06CB" w:rsidP="00083DBC">
      <w:pPr>
        <w:pStyle w:val="ListParagraph"/>
        <w:numPr>
          <w:ilvl w:val="1"/>
          <w:numId w:val="5"/>
        </w:numPr>
        <w:spacing w:line="240" w:lineRule="auto"/>
        <w:ind w:left="1843" w:hanging="425"/>
        <w:jc w:val="both"/>
        <w:rPr>
          <w:rFonts w:cs="Arial"/>
        </w:rPr>
      </w:pPr>
      <w:r w:rsidRPr="005F06CB">
        <w:rPr>
          <w:rFonts w:cs="Arial"/>
        </w:rPr>
        <w:t>Costs related to the use of a beneficiaries’ own vehicle</w:t>
      </w:r>
      <w:r>
        <w:rPr>
          <w:rFonts w:cs="Arial"/>
        </w:rPr>
        <w:t>(s)</w:t>
      </w:r>
      <w:r w:rsidRPr="005F06CB">
        <w:rPr>
          <w:rFonts w:cs="Arial"/>
        </w:rPr>
        <w:t xml:space="preserve"> must be supported by a vehicle logbook and should be calculated using the relevant published national</w:t>
      </w:r>
      <w:r w:rsidR="0015577E">
        <w:rPr>
          <w:rFonts w:cs="Arial"/>
        </w:rPr>
        <w:t>/territorial</w:t>
      </w:r>
      <w:r w:rsidRPr="005F06CB">
        <w:rPr>
          <w:rFonts w:cs="Arial"/>
        </w:rPr>
        <w:t xml:space="preserve"> rate for vehicle usage (where this is available).</w:t>
      </w:r>
    </w:p>
    <w:p w:rsidR="00CD40E0" w:rsidRDefault="00CD40E0" w:rsidP="00083DBC">
      <w:pPr>
        <w:pStyle w:val="ListParagraph"/>
        <w:spacing w:after="0" w:line="240" w:lineRule="auto"/>
        <w:ind w:left="1276" w:hanging="425"/>
        <w:jc w:val="both"/>
        <w:rPr>
          <w:rFonts w:cs="Arial"/>
        </w:rPr>
      </w:pPr>
    </w:p>
    <w:p w:rsidR="00CD40E0" w:rsidRDefault="00C214A5" w:rsidP="00083DBC">
      <w:pPr>
        <w:pStyle w:val="ListParagraph"/>
        <w:numPr>
          <w:ilvl w:val="0"/>
          <w:numId w:val="5"/>
        </w:numPr>
        <w:spacing w:after="0" w:line="240" w:lineRule="auto"/>
        <w:ind w:left="1276" w:hanging="425"/>
        <w:jc w:val="both"/>
        <w:rPr>
          <w:rFonts w:cs="Arial"/>
          <w:b/>
        </w:rPr>
      </w:pPr>
      <w:r>
        <w:rPr>
          <w:rFonts w:cs="Arial"/>
          <w:b/>
        </w:rPr>
        <w:t>Procurement – headings “Other costs and services” or “Other”</w:t>
      </w:r>
    </w:p>
    <w:p w:rsidR="00CD40E0" w:rsidRDefault="00C214A5" w:rsidP="00083DBC">
      <w:pPr>
        <w:pStyle w:val="ListParagraph"/>
        <w:numPr>
          <w:ilvl w:val="1"/>
          <w:numId w:val="5"/>
        </w:numPr>
        <w:spacing w:after="0" w:line="240" w:lineRule="auto"/>
        <w:ind w:left="1843" w:hanging="425"/>
        <w:jc w:val="both"/>
        <w:rPr>
          <w:rFonts w:cs="Arial"/>
        </w:rPr>
      </w:pPr>
      <w:r>
        <w:rPr>
          <w:rFonts w:cs="Arial"/>
        </w:rPr>
        <w:t>Proof of procurement procedures such as request for quotes, quotes received, quotes evaluation, tendering documents, bids from tenderers and evaluation reports.</w:t>
      </w:r>
    </w:p>
    <w:p w:rsidR="00CD40E0" w:rsidRDefault="00C214A5" w:rsidP="00083DBC">
      <w:pPr>
        <w:pStyle w:val="ListParagraph"/>
        <w:numPr>
          <w:ilvl w:val="1"/>
          <w:numId w:val="5"/>
        </w:numPr>
        <w:spacing w:after="0" w:line="240" w:lineRule="auto"/>
        <w:ind w:left="1843" w:hanging="425"/>
        <w:jc w:val="both"/>
        <w:rPr>
          <w:rFonts w:cs="Arial"/>
        </w:rPr>
      </w:pPr>
      <w:r>
        <w:rPr>
          <w:rFonts w:cs="Arial"/>
        </w:rPr>
        <w:t>Proof of commitments such as contracts and order forms.</w:t>
      </w:r>
    </w:p>
    <w:p w:rsidR="00CD40E0" w:rsidRDefault="00C214A5" w:rsidP="00083DBC">
      <w:pPr>
        <w:pStyle w:val="ListParagraph"/>
        <w:numPr>
          <w:ilvl w:val="1"/>
          <w:numId w:val="5"/>
        </w:numPr>
        <w:spacing w:after="0" w:line="240" w:lineRule="auto"/>
        <w:ind w:left="1843" w:hanging="425"/>
        <w:jc w:val="both"/>
        <w:rPr>
          <w:rFonts w:cs="Arial"/>
        </w:rPr>
      </w:pPr>
      <w:r>
        <w:rPr>
          <w:rFonts w:cs="Arial"/>
        </w:rPr>
        <w:t xml:space="preserve">Proof of receipt of goods such as delivery slips from suppliers. </w:t>
      </w:r>
    </w:p>
    <w:p w:rsidR="00CD40E0" w:rsidRDefault="00C214A5" w:rsidP="00083DBC">
      <w:pPr>
        <w:pStyle w:val="ListParagraph"/>
        <w:numPr>
          <w:ilvl w:val="1"/>
          <w:numId w:val="5"/>
        </w:numPr>
        <w:spacing w:after="0" w:line="240" w:lineRule="auto"/>
        <w:ind w:left="1843" w:hanging="425"/>
        <w:jc w:val="both"/>
        <w:rPr>
          <w:rFonts w:cs="Arial"/>
        </w:rPr>
      </w:pPr>
      <w:r>
        <w:rPr>
          <w:rFonts w:cs="Arial"/>
        </w:rPr>
        <w:t xml:space="preserve">Proof of completion of works, such as acceptance certificates. </w:t>
      </w:r>
    </w:p>
    <w:p w:rsidR="00CD40E0" w:rsidRDefault="00C214A5" w:rsidP="00083DBC">
      <w:pPr>
        <w:pStyle w:val="ListParagraph"/>
        <w:numPr>
          <w:ilvl w:val="1"/>
          <w:numId w:val="5"/>
        </w:numPr>
        <w:spacing w:after="0" w:line="240" w:lineRule="auto"/>
        <w:ind w:left="1843" w:hanging="425"/>
        <w:jc w:val="both"/>
        <w:rPr>
          <w:rFonts w:cs="Arial"/>
        </w:rPr>
      </w:pPr>
      <w:r>
        <w:rPr>
          <w:rFonts w:cs="Arial"/>
        </w:rPr>
        <w:t xml:space="preserve">Proof of purchase such as invoices and receipts. </w:t>
      </w:r>
    </w:p>
    <w:p w:rsidR="00CD40E0" w:rsidRDefault="00C214A5" w:rsidP="00083DBC">
      <w:pPr>
        <w:pStyle w:val="ListParagraph"/>
        <w:numPr>
          <w:ilvl w:val="1"/>
          <w:numId w:val="5"/>
        </w:numPr>
        <w:spacing w:after="0" w:line="240" w:lineRule="auto"/>
        <w:ind w:left="1843" w:hanging="425"/>
        <w:jc w:val="both"/>
        <w:rPr>
          <w:rFonts w:cs="Arial"/>
        </w:rPr>
      </w:pPr>
      <w:r>
        <w:rPr>
          <w:rFonts w:cs="Arial"/>
        </w:rPr>
        <w:t>Proof of payment such as bank statements, debit notices, proof of settlement by the contractor</w:t>
      </w:r>
      <w:r w:rsidRPr="00083DBC">
        <w:rPr>
          <w:rFonts w:cs="Arial"/>
          <w:highlight w:val="green"/>
        </w:rPr>
        <w:t>*</w:t>
      </w:r>
      <w:r>
        <w:rPr>
          <w:rFonts w:cs="Arial"/>
        </w:rPr>
        <w:t xml:space="preserve">. </w:t>
      </w:r>
    </w:p>
    <w:p w:rsidR="00CD40E0" w:rsidRDefault="00C214A5" w:rsidP="00083DBC">
      <w:pPr>
        <w:pStyle w:val="ListParagraph"/>
        <w:numPr>
          <w:ilvl w:val="1"/>
          <w:numId w:val="5"/>
        </w:numPr>
        <w:spacing w:after="0" w:line="240" w:lineRule="auto"/>
        <w:ind w:left="1843" w:hanging="425"/>
        <w:jc w:val="both"/>
        <w:rPr>
          <w:rFonts w:cs="Arial"/>
        </w:rPr>
      </w:pPr>
      <w:r>
        <w:rPr>
          <w:rFonts w:cs="Arial"/>
        </w:rPr>
        <w:t xml:space="preserve">Evidence of work performed, such as reports, studies, any other </w:t>
      </w:r>
      <w:r w:rsidR="00AE1ED6">
        <w:rPr>
          <w:rFonts w:cs="Arial"/>
        </w:rPr>
        <w:t xml:space="preserve">validated </w:t>
      </w:r>
      <w:r>
        <w:rPr>
          <w:rFonts w:cs="Arial"/>
        </w:rPr>
        <w:t>deliverables.</w:t>
      </w:r>
    </w:p>
    <w:p w:rsidR="00CD40E0" w:rsidRDefault="00CD40E0" w:rsidP="00083DBC">
      <w:pPr>
        <w:pStyle w:val="ListParagraph"/>
        <w:spacing w:after="0" w:line="240" w:lineRule="auto"/>
        <w:ind w:left="1276" w:hanging="425"/>
        <w:jc w:val="both"/>
        <w:rPr>
          <w:rFonts w:cs="Arial"/>
        </w:rPr>
      </w:pPr>
    </w:p>
    <w:p w:rsidR="00CD40E0" w:rsidRDefault="00C214A5" w:rsidP="00083DBC">
      <w:pPr>
        <w:pStyle w:val="ListParagraph"/>
        <w:numPr>
          <w:ilvl w:val="0"/>
          <w:numId w:val="5"/>
        </w:numPr>
        <w:spacing w:after="0" w:line="240" w:lineRule="auto"/>
        <w:ind w:left="1276" w:hanging="425"/>
        <w:jc w:val="both"/>
        <w:rPr>
          <w:rFonts w:cs="Arial"/>
          <w:b/>
        </w:rPr>
      </w:pPr>
      <w:r>
        <w:rPr>
          <w:rFonts w:cs="Arial"/>
          <w:b/>
        </w:rPr>
        <w:t>Meetings, workshops, seminars and other project events.</w:t>
      </w:r>
    </w:p>
    <w:p w:rsidR="00CD40E0" w:rsidRDefault="00C214A5" w:rsidP="00083DBC">
      <w:pPr>
        <w:pStyle w:val="ListParagraph"/>
        <w:numPr>
          <w:ilvl w:val="1"/>
          <w:numId w:val="5"/>
        </w:numPr>
        <w:spacing w:after="0" w:line="240" w:lineRule="auto"/>
        <w:ind w:left="1843" w:hanging="425"/>
        <w:jc w:val="both"/>
        <w:rPr>
          <w:rFonts w:cs="Arial"/>
        </w:rPr>
      </w:pPr>
      <w:r>
        <w:rPr>
          <w:rFonts w:cs="Arial"/>
        </w:rPr>
        <w:t>Agenda.</w:t>
      </w:r>
    </w:p>
    <w:p w:rsidR="00CD40E0" w:rsidRDefault="00C214A5" w:rsidP="00083DBC">
      <w:pPr>
        <w:pStyle w:val="ListParagraph"/>
        <w:numPr>
          <w:ilvl w:val="1"/>
          <w:numId w:val="5"/>
        </w:numPr>
        <w:spacing w:after="0" w:line="240" w:lineRule="auto"/>
        <w:ind w:left="1843" w:hanging="425"/>
        <w:jc w:val="both"/>
        <w:rPr>
          <w:rFonts w:cs="Arial"/>
        </w:rPr>
      </w:pPr>
      <w:r>
        <w:rPr>
          <w:rFonts w:cs="Arial"/>
        </w:rPr>
        <w:t>Minutes.</w:t>
      </w:r>
    </w:p>
    <w:p w:rsidR="00CD40E0" w:rsidRDefault="00C214A5" w:rsidP="00083DBC">
      <w:pPr>
        <w:pStyle w:val="ListParagraph"/>
        <w:numPr>
          <w:ilvl w:val="1"/>
          <w:numId w:val="5"/>
        </w:numPr>
        <w:spacing w:after="0" w:line="240" w:lineRule="auto"/>
        <w:ind w:left="1843" w:hanging="425"/>
        <w:jc w:val="both"/>
        <w:rPr>
          <w:rFonts w:cs="Arial"/>
        </w:rPr>
      </w:pPr>
      <w:r w:rsidRPr="00831412">
        <w:rPr>
          <w:rFonts w:cs="Arial"/>
          <w:b/>
          <w:u w:val="single"/>
        </w:rPr>
        <w:t>Signed</w:t>
      </w:r>
      <w:r>
        <w:rPr>
          <w:rFonts w:cs="Arial"/>
          <w:b/>
        </w:rPr>
        <w:t xml:space="preserve"> </w:t>
      </w:r>
      <w:r>
        <w:rPr>
          <w:rFonts w:cs="Arial"/>
        </w:rPr>
        <w:t>participants’ list.</w:t>
      </w:r>
    </w:p>
    <w:p w:rsidR="00CD40E0" w:rsidRDefault="00C214A5" w:rsidP="00083DBC">
      <w:pPr>
        <w:pStyle w:val="ListParagraph"/>
        <w:numPr>
          <w:ilvl w:val="1"/>
          <w:numId w:val="5"/>
        </w:numPr>
        <w:spacing w:after="0" w:line="240" w:lineRule="auto"/>
        <w:ind w:left="1843" w:hanging="425"/>
        <w:jc w:val="both"/>
        <w:rPr>
          <w:rFonts w:cs="Arial"/>
        </w:rPr>
      </w:pPr>
      <w:r>
        <w:rPr>
          <w:rFonts w:cs="Arial"/>
        </w:rPr>
        <w:t>Proof of stay on site - hotel invoice, rooming list, signed attendance list.</w:t>
      </w:r>
    </w:p>
    <w:p w:rsidR="00CD40E0" w:rsidRDefault="00C214A5" w:rsidP="00083DBC">
      <w:pPr>
        <w:pStyle w:val="ListParagraph"/>
        <w:numPr>
          <w:ilvl w:val="1"/>
          <w:numId w:val="5"/>
        </w:numPr>
        <w:spacing w:after="0" w:line="240" w:lineRule="auto"/>
        <w:ind w:left="1843" w:hanging="425"/>
        <w:jc w:val="both"/>
        <w:rPr>
          <w:rFonts w:cs="Arial"/>
        </w:rPr>
      </w:pPr>
      <w:r>
        <w:rPr>
          <w:rFonts w:cs="Arial"/>
        </w:rPr>
        <w:t>Invoices from service providers for venue hire, receptions or catering.</w:t>
      </w:r>
    </w:p>
    <w:p w:rsidR="00CD40E0" w:rsidRDefault="00CD40E0" w:rsidP="00083DBC">
      <w:pPr>
        <w:spacing w:after="0" w:line="240" w:lineRule="auto"/>
        <w:jc w:val="both"/>
        <w:rPr>
          <w:rFonts w:eastAsia="Calibri" w:cs="Arial"/>
          <w:color w:val="000000"/>
          <w:szCs w:val="20"/>
        </w:rPr>
      </w:pPr>
    </w:p>
    <w:p w:rsidR="00CD40E0" w:rsidRDefault="00C214A5" w:rsidP="00083DBC">
      <w:pPr>
        <w:spacing w:after="0" w:line="240" w:lineRule="auto"/>
        <w:ind w:left="567"/>
        <w:jc w:val="both"/>
        <w:rPr>
          <w:rFonts w:eastAsia="Calibri" w:cs="Arial"/>
          <w:color w:val="000000"/>
          <w:szCs w:val="20"/>
          <w:u w:val="single"/>
        </w:rPr>
      </w:pPr>
      <w:r w:rsidRPr="00083DBC">
        <w:rPr>
          <w:rFonts w:eastAsia="Calibri" w:cs="Arial"/>
          <w:color w:val="000000"/>
          <w:szCs w:val="20"/>
          <w:highlight w:val="green"/>
        </w:rPr>
        <w:lastRenderedPageBreak/>
        <w:t>*</w:t>
      </w:r>
      <w:r>
        <w:rPr>
          <w:rFonts w:eastAsia="Calibri" w:cs="Arial"/>
          <w:color w:val="000000"/>
          <w:szCs w:val="20"/>
        </w:rPr>
        <w:t xml:space="preserve"> </w:t>
      </w:r>
      <w:r w:rsidRPr="00083DBC">
        <w:rPr>
          <w:rFonts w:eastAsia="Calibri" w:cs="Arial"/>
          <w:color w:val="000000"/>
          <w:szCs w:val="20"/>
        </w:rPr>
        <w:t>Proof of settlement by the contractor is a confirmation of the receipt of a payment by the recipient. It is a signed confirmation of the amount paid and it must have a clear link demonstrating that the signature is that of a correct payee (e.g. if a contractor, the signature should match the signature on the contract, if a supplier then the confirmation should be on official letterhead).</w:t>
      </w:r>
      <w:r w:rsidR="00083DBC">
        <w:rPr>
          <w:rFonts w:eastAsia="Calibri" w:cs="Arial"/>
          <w:color w:val="000000"/>
          <w:szCs w:val="20"/>
        </w:rPr>
        <w:t xml:space="preserve"> </w:t>
      </w:r>
      <w:r w:rsidR="00083DBC" w:rsidRPr="00083DBC">
        <w:rPr>
          <w:rFonts w:eastAsia="Calibri" w:cs="Arial"/>
          <w:b/>
          <w:color w:val="000000"/>
          <w:szCs w:val="20"/>
          <w:u w:val="single"/>
        </w:rPr>
        <w:t>This may be required ONLY in cases when bank statements are not available.</w:t>
      </w:r>
    </w:p>
    <w:p w:rsidR="00CD40E0" w:rsidRDefault="00C214A5">
      <w:pPr>
        <w:pStyle w:val="Heading1"/>
        <w:numPr>
          <w:ilvl w:val="0"/>
          <w:numId w:val="4"/>
        </w:numPr>
      </w:pPr>
      <w:r>
        <w:t>Recordkeeping</w:t>
      </w:r>
    </w:p>
    <w:p w:rsidR="00CD40E0" w:rsidRDefault="00C214A5" w:rsidP="00083DBC">
      <w:pPr>
        <w:pStyle w:val="Default"/>
        <w:ind w:left="720"/>
        <w:jc w:val="both"/>
        <w:rPr>
          <w:rFonts w:asciiTheme="minorHAnsi" w:hAnsiTheme="minorHAnsi"/>
          <w:sz w:val="22"/>
          <w:szCs w:val="22"/>
        </w:rPr>
      </w:pPr>
      <w:r>
        <w:rPr>
          <w:rFonts w:asciiTheme="minorHAnsi" w:hAnsiTheme="minorHAnsi"/>
          <w:sz w:val="22"/>
          <w:szCs w:val="22"/>
        </w:rPr>
        <w:t xml:space="preserve">All the relevant information has to be kept for </w:t>
      </w:r>
      <w:r w:rsidRPr="00831412">
        <w:rPr>
          <w:rFonts w:asciiTheme="minorHAnsi" w:hAnsiTheme="minorHAnsi"/>
          <w:b/>
          <w:sz w:val="22"/>
          <w:szCs w:val="22"/>
          <w:u w:val="single"/>
        </w:rPr>
        <w:t>5 years after the payment of the balance</w:t>
      </w:r>
      <w:r>
        <w:rPr>
          <w:rFonts w:asciiTheme="minorHAnsi" w:hAnsiTheme="minorHAnsi"/>
          <w:sz w:val="22"/>
          <w:szCs w:val="22"/>
        </w:rPr>
        <w:t>.</w:t>
      </w:r>
    </w:p>
    <w:p w:rsidR="00831412" w:rsidRDefault="00831412" w:rsidP="00083DBC">
      <w:pPr>
        <w:pStyle w:val="Default"/>
        <w:ind w:left="720"/>
        <w:jc w:val="both"/>
        <w:rPr>
          <w:rFonts w:asciiTheme="minorHAnsi" w:hAnsiTheme="minorHAnsi"/>
          <w:b/>
          <w:sz w:val="22"/>
          <w:szCs w:val="22"/>
        </w:rPr>
      </w:pPr>
    </w:p>
    <w:p w:rsidR="00CD40E0" w:rsidRDefault="00C214A5" w:rsidP="00083DBC">
      <w:pPr>
        <w:pStyle w:val="Default"/>
        <w:ind w:left="720"/>
        <w:jc w:val="both"/>
        <w:rPr>
          <w:rFonts w:asciiTheme="minorHAnsi" w:hAnsiTheme="minorHAnsi"/>
          <w:sz w:val="22"/>
          <w:szCs w:val="22"/>
        </w:rPr>
      </w:pPr>
      <w:r w:rsidRPr="00831412">
        <w:rPr>
          <w:rFonts w:asciiTheme="minorHAnsi" w:hAnsiTheme="minorHAnsi"/>
          <w:b/>
          <w:sz w:val="22"/>
          <w:szCs w:val="22"/>
          <w:u w:val="single"/>
        </w:rPr>
        <w:t>Original documents</w:t>
      </w:r>
      <w:r>
        <w:rPr>
          <w:rFonts w:asciiTheme="minorHAnsi" w:hAnsiTheme="minorHAnsi"/>
          <w:sz w:val="22"/>
          <w:szCs w:val="22"/>
        </w:rPr>
        <w:t xml:space="preserve">, especially accounting and tax records, stored on any appropriate medium, including digitalised originals in accordance with their national legislation, must be </w:t>
      </w:r>
      <w:r w:rsidRPr="00831412">
        <w:rPr>
          <w:rFonts w:asciiTheme="minorHAnsi" w:hAnsiTheme="minorHAnsi"/>
          <w:b/>
          <w:sz w:val="22"/>
          <w:szCs w:val="22"/>
          <w:u w:val="single"/>
        </w:rPr>
        <w:t xml:space="preserve">kept for </w:t>
      </w:r>
      <w:r w:rsidRPr="00A601E6">
        <w:rPr>
          <w:rFonts w:asciiTheme="minorHAnsi" w:hAnsiTheme="minorHAnsi"/>
          <w:b/>
          <w:sz w:val="22"/>
          <w:szCs w:val="22"/>
          <w:highlight w:val="green"/>
          <w:u w:val="single"/>
        </w:rPr>
        <w:t>five years</w:t>
      </w:r>
      <w:r w:rsidRPr="00831412">
        <w:rPr>
          <w:rFonts w:asciiTheme="minorHAnsi" w:hAnsiTheme="minorHAnsi"/>
          <w:b/>
          <w:sz w:val="22"/>
          <w:szCs w:val="22"/>
          <w:u w:val="single"/>
        </w:rPr>
        <w:t xml:space="preserve"> after the date of payment of the balance of the European Union contribution</w:t>
      </w:r>
      <w:r>
        <w:rPr>
          <w:rFonts w:asciiTheme="minorHAnsi" w:hAnsiTheme="minorHAnsi"/>
          <w:sz w:val="22"/>
          <w:szCs w:val="22"/>
        </w:rPr>
        <w:t>.</w:t>
      </w:r>
    </w:p>
    <w:p w:rsidR="00CD40E0" w:rsidRDefault="00CD40E0" w:rsidP="00083DBC">
      <w:pPr>
        <w:pStyle w:val="Default"/>
        <w:ind w:left="720"/>
        <w:jc w:val="both"/>
        <w:rPr>
          <w:rFonts w:asciiTheme="minorHAnsi" w:hAnsiTheme="minorHAnsi"/>
          <w:sz w:val="22"/>
          <w:szCs w:val="22"/>
        </w:rPr>
      </w:pPr>
    </w:p>
    <w:p w:rsidR="00CD40E0" w:rsidRDefault="00C214A5" w:rsidP="00083DBC">
      <w:pPr>
        <w:pStyle w:val="Default"/>
        <w:ind w:left="720"/>
        <w:jc w:val="both"/>
        <w:rPr>
          <w:rFonts w:asciiTheme="minorHAnsi" w:hAnsiTheme="minorHAnsi"/>
          <w:sz w:val="22"/>
          <w:szCs w:val="22"/>
        </w:rPr>
      </w:pPr>
      <w:r>
        <w:rPr>
          <w:rFonts w:asciiTheme="minorHAnsi" w:hAnsiTheme="minorHAnsi"/>
          <w:sz w:val="22"/>
          <w:szCs w:val="22"/>
        </w:rPr>
        <w:t>The list below is not exhaustive.</w:t>
      </w:r>
    </w:p>
    <w:p w:rsidR="00CD40E0" w:rsidRDefault="00C214A5" w:rsidP="00083DBC">
      <w:pPr>
        <w:pStyle w:val="Default"/>
        <w:spacing w:before="120" w:after="120"/>
        <w:ind w:left="1559" w:hanging="425"/>
        <w:jc w:val="both"/>
        <w:rPr>
          <w:rFonts w:asciiTheme="minorHAnsi" w:hAnsiTheme="minorHAnsi"/>
          <w:sz w:val="22"/>
          <w:szCs w:val="22"/>
        </w:rPr>
      </w:pPr>
      <w:r>
        <w:rPr>
          <w:rFonts w:asciiTheme="minorHAnsi" w:hAnsiTheme="minorHAnsi"/>
          <w:sz w:val="22"/>
          <w:szCs w:val="22"/>
        </w:rPr>
        <w:t xml:space="preserve">a) </w:t>
      </w:r>
      <w:r>
        <w:rPr>
          <w:rFonts w:asciiTheme="minorHAnsi" w:hAnsiTheme="minorHAnsi"/>
          <w:sz w:val="22"/>
          <w:szCs w:val="22"/>
        </w:rPr>
        <w:tab/>
        <w:t xml:space="preserve">Accounting records (computerised or manual) from the Beneficiary(ies)’s accounting system such as general ledger, sub-ledgers and payroll accounts, fixed assets registers and other relevant accounting information; </w:t>
      </w:r>
    </w:p>
    <w:p w:rsidR="00CD40E0" w:rsidRDefault="00C214A5" w:rsidP="00083DBC">
      <w:pPr>
        <w:pStyle w:val="Default"/>
        <w:spacing w:before="120" w:after="120"/>
        <w:ind w:left="1559" w:hanging="425"/>
        <w:jc w:val="both"/>
        <w:rPr>
          <w:rFonts w:asciiTheme="minorHAnsi" w:hAnsiTheme="minorHAnsi"/>
          <w:sz w:val="22"/>
          <w:szCs w:val="22"/>
        </w:rPr>
      </w:pPr>
      <w:r>
        <w:rPr>
          <w:rFonts w:asciiTheme="minorHAnsi" w:hAnsiTheme="minorHAnsi"/>
          <w:sz w:val="22"/>
          <w:szCs w:val="22"/>
        </w:rPr>
        <w:t xml:space="preserve">b) </w:t>
      </w:r>
      <w:r>
        <w:rPr>
          <w:rFonts w:asciiTheme="minorHAnsi" w:hAnsiTheme="minorHAnsi"/>
          <w:sz w:val="22"/>
          <w:szCs w:val="22"/>
        </w:rPr>
        <w:tab/>
        <w:t>Proof of procurement procedures such as tendering documents, bids from tenderers and evaluation reports;</w:t>
      </w:r>
    </w:p>
    <w:p w:rsidR="00CD40E0" w:rsidRDefault="00C214A5" w:rsidP="00083DBC">
      <w:pPr>
        <w:pStyle w:val="Default"/>
        <w:spacing w:before="120" w:after="120"/>
        <w:ind w:left="1559" w:hanging="425"/>
        <w:jc w:val="both"/>
        <w:rPr>
          <w:rFonts w:asciiTheme="minorHAnsi" w:hAnsiTheme="minorHAnsi"/>
          <w:sz w:val="22"/>
          <w:szCs w:val="22"/>
        </w:rPr>
      </w:pPr>
      <w:r>
        <w:rPr>
          <w:rFonts w:asciiTheme="minorHAnsi" w:hAnsiTheme="minorHAnsi"/>
          <w:sz w:val="22"/>
          <w:szCs w:val="22"/>
        </w:rPr>
        <w:t xml:space="preserve">c) </w:t>
      </w:r>
      <w:r>
        <w:rPr>
          <w:rFonts w:asciiTheme="minorHAnsi" w:hAnsiTheme="minorHAnsi"/>
          <w:sz w:val="22"/>
          <w:szCs w:val="22"/>
        </w:rPr>
        <w:tab/>
        <w:t xml:space="preserve">Proof of commitments such as contracts and order forms; </w:t>
      </w:r>
    </w:p>
    <w:p w:rsidR="00CD40E0" w:rsidRDefault="00C214A5" w:rsidP="00083DBC">
      <w:pPr>
        <w:pStyle w:val="Default"/>
        <w:spacing w:before="120" w:after="120"/>
        <w:ind w:left="1559" w:hanging="425"/>
        <w:jc w:val="both"/>
        <w:rPr>
          <w:rFonts w:asciiTheme="minorHAnsi" w:hAnsiTheme="minorHAnsi"/>
          <w:sz w:val="22"/>
          <w:szCs w:val="22"/>
        </w:rPr>
      </w:pPr>
      <w:r>
        <w:rPr>
          <w:rFonts w:asciiTheme="minorHAnsi" w:hAnsiTheme="minorHAnsi"/>
          <w:sz w:val="22"/>
          <w:szCs w:val="22"/>
        </w:rPr>
        <w:t xml:space="preserve">d) </w:t>
      </w:r>
      <w:r>
        <w:rPr>
          <w:rFonts w:asciiTheme="minorHAnsi" w:hAnsiTheme="minorHAnsi"/>
          <w:sz w:val="22"/>
          <w:szCs w:val="22"/>
        </w:rPr>
        <w:tab/>
        <w:t xml:space="preserve">Proof of delivery of services such as approved reports, time sheets, transport tickets, proof of attending seminars, conferences and training courses (including relevant documentation and material obtained, certificates) etc.; </w:t>
      </w:r>
    </w:p>
    <w:p w:rsidR="00CD40E0" w:rsidRDefault="00C214A5" w:rsidP="00083DBC">
      <w:pPr>
        <w:pStyle w:val="Default"/>
        <w:spacing w:before="120" w:after="120"/>
        <w:ind w:left="1559" w:hanging="425"/>
        <w:jc w:val="both"/>
        <w:rPr>
          <w:rFonts w:asciiTheme="minorHAnsi" w:hAnsiTheme="minorHAnsi"/>
          <w:sz w:val="22"/>
          <w:szCs w:val="22"/>
        </w:rPr>
      </w:pPr>
      <w:r>
        <w:rPr>
          <w:rFonts w:asciiTheme="minorHAnsi" w:hAnsiTheme="minorHAnsi"/>
          <w:sz w:val="22"/>
          <w:szCs w:val="22"/>
        </w:rPr>
        <w:t xml:space="preserve">e) </w:t>
      </w:r>
      <w:r>
        <w:rPr>
          <w:rFonts w:asciiTheme="minorHAnsi" w:hAnsiTheme="minorHAnsi"/>
          <w:sz w:val="22"/>
          <w:szCs w:val="22"/>
        </w:rPr>
        <w:tab/>
        <w:t xml:space="preserve">Proof of receipt of goods such as delivery slips from suppliers; </w:t>
      </w:r>
    </w:p>
    <w:p w:rsidR="00CD40E0" w:rsidRDefault="00C214A5" w:rsidP="00083DBC">
      <w:pPr>
        <w:pStyle w:val="Default"/>
        <w:spacing w:before="120" w:after="120"/>
        <w:ind w:left="1559" w:hanging="425"/>
        <w:jc w:val="both"/>
        <w:rPr>
          <w:rFonts w:asciiTheme="minorHAnsi" w:hAnsiTheme="minorHAnsi"/>
          <w:sz w:val="22"/>
          <w:szCs w:val="22"/>
        </w:rPr>
      </w:pPr>
      <w:r>
        <w:rPr>
          <w:rFonts w:asciiTheme="minorHAnsi" w:hAnsiTheme="minorHAnsi"/>
          <w:sz w:val="22"/>
          <w:szCs w:val="22"/>
        </w:rPr>
        <w:t>f)</w:t>
      </w:r>
      <w:r>
        <w:rPr>
          <w:rFonts w:asciiTheme="minorHAnsi" w:hAnsiTheme="minorHAnsi"/>
          <w:sz w:val="22"/>
          <w:szCs w:val="22"/>
        </w:rPr>
        <w:tab/>
        <w:t xml:space="preserve">Proof of completion of works, such as acceptance certificates; </w:t>
      </w:r>
    </w:p>
    <w:p w:rsidR="00CD40E0" w:rsidRDefault="00C214A5" w:rsidP="00083DBC">
      <w:pPr>
        <w:pStyle w:val="Default"/>
        <w:spacing w:before="120" w:after="120"/>
        <w:ind w:left="1559" w:hanging="425"/>
        <w:jc w:val="both"/>
        <w:rPr>
          <w:rFonts w:asciiTheme="minorHAnsi" w:hAnsiTheme="minorHAnsi"/>
          <w:sz w:val="22"/>
          <w:szCs w:val="22"/>
        </w:rPr>
      </w:pPr>
      <w:r>
        <w:rPr>
          <w:rFonts w:asciiTheme="minorHAnsi" w:hAnsiTheme="minorHAnsi"/>
          <w:sz w:val="22"/>
          <w:szCs w:val="22"/>
        </w:rPr>
        <w:t xml:space="preserve">g) </w:t>
      </w:r>
      <w:r>
        <w:rPr>
          <w:rFonts w:asciiTheme="minorHAnsi" w:hAnsiTheme="minorHAnsi"/>
          <w:sz w:val="22"/>
          <w:szCs w:val="22"/>
        </w:rPr>
        <w:tab/>
        <w:t xml:space="preserve">Proof of purchase such as invoices and receipts; </w:t>
      </w:r>
    </w:p>
    <w:p w:rsidR="00CD40E0" w:rsidRDefault="00C214A5" w:rsidP="00083DBC">
      <w:pPr>
        <w:pStyle w:val="Default"/>
        <w:spacing w:before="120" w:after="120"/>
        <w:ind w:left="1559" w:hanging="425"/>
        <w:jc w:val="both"/>
        <w:rPr>
          <w:rFonts w:asciiTheme="minorHAnsi" w:hAnsiTheme="minorHAnsi"/>
          <w:sz w:val="22"/>
          <w:szCs w:val="22"/>
        </w:rPr>
      </w:pPr>
      <w:r>
        <w:rPr>
          <w:rFonts w:asciiTheme="minorHAnsi" w:hAnsiTheme="minorHAnsi"/>
          <w:sz w:val="22"/>
          <w:szCs w:val="22"/>
        </w:rPr>
        <w:t xml:space="preserve">h) </w:t>
      </w:r>
      <w:r>
        <w:rPr>
          <w:rFonts w:asciiTheme="minorHAnsi" w:hAnsiTheme="minorHAnsi"/>
          <w:sz w:val="22"/>
          <w:szCs w:val="22"/>
        </w:rPr>
        <w:tab/>
        <w:t xml:space="preserve">Proof of payment such as bank statements, debit notices, proof of settlement by the contractor; </w:t>
      </w:r>
    </w:p>
    <w:p w:rsidR="00CD40E0" w:rsidRDefault="00C214A5" w:rsidP="00083DBC">
      <w:pPr>
        <w:pStyle w:val="Default"/>
        <w:spacing w:before="120" w:after="120"/>
        <w:ind w:left="1559" w:hanging="425"/>
        <w:jc w:val="both"/>
        <w:rPr>
          <w:rFonts w:asciiTheme="minorHAnsi" w:hAnsiTheme="minorHAnsi"/>
          <w:sz w:val="22"/>
          <w:szCs w:val="22"/>
        </w:rPr>
      </w:pPr>
      <w:r>
        <w:rPr>
          <w:rFonts w:asciiTheme="minorHAnsi" w:hAnsiTheme="minorHAnsi"/>
          <w:sz w:val="22"/>
          <w:szCs w:val="22"/>
        </w:rPr>
        <w:t xml:space="preserve">i) </w:t>
      </w:r>
      <w:r>
        <w:rPr>
          <w:rFonts w:asciiTheme="minorHAnsi" w:hAnsiTheme="minorHAnsi"/>
          <w:sz w:val="22"/>
          <w:szCs w:val="22"/>
        </w:rPr>
        <w:tab/>
        <w:t xml:space="preserve">Proof that taxes and/or VAT that have been paid cannot actually be reclaimed; </w:t>
      </w:r>
    </w:p>
    <w:p w:rsidR="00CD40E0" w:rsidRDefault="00C214A5" w:rsidP="00083DBC">
      <w:pPr>
        <w:pStyle w:val="Default"/>
        <w:spacing w:before="120" w:after="120"/>
        <w:ind w:left="1559" w:hanging="425"/>
        <w:jc w:val="both"/>
        <w:rPr>
          <w:rFonts w:asciiTheme="minorHAnsi" w:hAnsiTheme="minorHAnsi"/>
          <w:sz w:val="22"/>
          <w:szCs w:val="22"/>
        </w:rPr>
      </w:pPr>
      <w:r>
        <w:rPr>
          <w:rFonts w:asciiTheme="minorHAnsi" w:hAnsiTheme="minorHAnsi"/>
          <w:sz w:val="22"/>
          <w:szCs w:val="22"/>
        </w:rPr>
        <w:t xml:space="preserve">j) </w:t>
      </w:r>
      <w:r>
        <w:rPr>
          <w:rFonts w:asciiTheme="minorHAnsi" w:hAnsiTheme="minorHAnsi"/>
          <w:sz w:val="22"/>
          <w:szCs w:val="22"/>
        </w:rPr>
        <w:tab/>
        <w:t>For fuel and oil expenses,</w:t>
      </w:r>
      <w:r w:rsidRPr="00831412">
        <w:rPr>
          <w:rFonts w:asciiTheme="minorHAnsi" w:hAnsiTheme="minorHAnsi"/>
          <w:sz w:val="22"/>
          <w:szCs w:val="22"/>
        </w:rPr>
        <w:t xml:space="preserve"> </w:t>
      </w:r>
      <w:r w:rsidR="00831412" w:rsidRPr="00831412">
        <w:rPr>
          <w:rFonts w:asciiTheme="minorHAnsi" w:hAnsiTheme="minorHAnsi" w:cs="Arial"/>
          <w:sz w:val="22"/>
          <w:szCs w:val="22"/>
        </w:rPr>
        <w:t>a vehicle logbook</w:t>
      </w:r>
      <w:r w:rsidR="00E47EA5" w:rsidRPr="00831412">
        <w:rPr>
          <w:rFonts w:asciiTheme="minorHAnsi" w:hAnsiTheme="minorHAnsi" w:cs="Arial"/>
          <w:sz w:val="22"/>
          <w:szCs w:val="22"/>
        </w:rPr>
        <w:t>,</w:t>
      </w:r>
      <w:r w:rsidR="00831412">
        <w:rPr>
          <w:rFonts w:cs="Arial"/>
        </w:rPr>
        <w:t xml:space="preserve"> </w:t>
      </w:r>
      <w:r>
        <w:rPr>
          <w:rFonts w:asciiTheme="minorHAnsi" w:hAnsiTheme="minorHAnsi"/>
          <w:sz w:val="22"/>
          <w:szCs w:val="22"/>
        </w:rPr>
        <w:t xml:space="preserve">a summary list of the distance covered, the average consumption of the vehicles used, fuel costs and maintenance costs; </w:t>
      </w:r>
    </w:p>
    <w:p w:rsidR="00CD40E0" w:rsidRDefault="00C214A5" w:rsidP="00083DBC">
      <w:pPr>
        <w:pStyle w:val="Default"/>
        <w:spacing w:before="120" w:after="120"/>
        <w:ind w:left="1559" w:hanging="425"/>
        <w:jc w:val="both"/>
        <w:rPr>
          <w:rFonts w:asciiTheme="minorHAnsi" w:hAnsiTheme="minorHAnsi"/>
          <w:sz w:val="22"/>
          <w:szCs w:val="22"/>
        </w:rPr>
      </w:pPr>
      <w:r>
        <w:rPr>
          <w:rFonts w:asciiTheme="minorHAnsi" w:hAnsiTheme="minorHAnsi"/>
          <w:sz w:val="22"/>
          <w:szCs w:val="22"/>
        </w:rPr>
        <w:t xml:space="preserve">k) </w:t>
      </w:r>
      <w:r>
        <w:rPr>
          <w:rFonts w:asciiTheme="minorHAnsi" w:hAnsiTheme="minorHAnsi"/>
          <w:sz w:val="22"/>
          <w:szCs w:val="22"/>
        </w:rPr>
        <w:tab/>
        <w:t xml:space="preserve">Staff and payroll records such as contracts, salary statements and time sheets. For local staff recruited on fixed-term contracts, details of remuneration paid, duly substantiated by the person in charge locally, broken down into gross salary, social security charges, insurance and net salary. </w:t>
      </w:r>
    </w:p>
    <w:p w:rsidR="00CD40E0" w:rsidRDefault="00CD40E0"/>
    <w:sectPr w:rsidR="00CD40E0" w:rsidSect="00831412">
      <w:footerReference w:type="default" r:id="rId13"/>
      <w:pgSz w:w="11906" w:h="16838"/>
      <w:pgMar w:top="1440" w:right="1416" w:bottom="1440" w:left="1418"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BE" w:rsidRDefault="00FB58BE">
      <w:pPr>
        <w:spacing w:after="0" w:line="240" w:lineRule="auto"/>
      </w:pPr>
      <w:r>
        <w:separator/>
      </w:r>
    </w:p>
  </w:endnote>
  <w:endnote w:type="continuationSeparator" w:id="0">
    <w:p w:rsidR="00FB58BE" w:rsidRDefault="00FB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03640"/>
      <w:docPartObj>
        <w:docPartGallery w:val="Page Numbers (Bottom of Page)"/>
        <w:docPartUnique/>
      </w:docPartObj>
    </w:sdtPr>
    <w:sdtEndPr/>
    <w:sdtContent>
      <w:p w:rsidR="00CD40E0" w:rsidRDefault="00C214A5">
        <w:pPr>
          <w:pStyle w:val="Footer"/>
          <w:jc w:val="right"/>
        </w:pPr>
        <w:r>
          <w:fldChar w:fldCharType="begin"/>
        </w:r>
        <w:r>
          <w:instrText>PAGE</w:instrText>
        </w:r>
        <w:r>
          <w:fldChar w:fldCharType="separate"/>
        </w:r>
        <w:r w:rsidR="00EE436D">
          <w:rPr>
            <w:noProof/>
          </w:rPr>
          <w:t>8</w:t>
        </w:r>
        <w:r>
          <w:fldChar w:fldCharType="end"/>
        </w:r>
      </w:p>
    </w:sdtContent>
  </w:sdt>
  <w:p w:rsidR="00CD40E0" w:rsidRDefault="00CD4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BE" w:rsidRDefault="00FB58BE">
      <w:pPr>
        <w:spacing w:after="0" w:line="240" w:lineRule="auto"/>
      </w:pPr>
      <w:r>
        <w:separator/>
      </w:r>
    </w:p>
  </w:footnote>
  <w:footnote w:type="continuationSeparator" w:id="0">
    <w:p w:rsidR="00FB58BE" w:rsidRDefault="00FB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75"/>
    <w:multiLevelType w:val="multilevel"/>
    <w:tmpl w:val="7C7E7FAC"/>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FD513D"/>
    <w:multiLevelType w:val="hybridMultilevel"/>
    <w:tmpl w:val="B6ECF89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AF02C53"/>
    <w:multiLevelType w:val="multilevel"/>
    <w:tmpl w:val="70B0AE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0436293"/>
    <w:multiLevelType w:val="multilevel"/>
    <w:tmpl w:val="C0364EC2"/>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nsid w:val="20C97A06"/>
    <w:multiLevelType w:val="multilevel"/>
    <w:tmpl w:val="1EAAC71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3"/>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EE6D0B"/>
    <w:multiLevelType w:val="multilevel"/>
    <w:tmpl w:val="1046C3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505253"/>
    <w:multiLevelType w:val="hybridMultilevel"/>
    <w:tmpl w:val="09FA3228"/>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7">
    <w:nsid w:val="5D4E50A7"/>
    <w:multiLevelType w:val="multilevel"/>
    <w:tmpl w:val="BC0EF848"/>
    <w:lvl w:ilvl="0">
      <w:start w:val="1"/>
      <w:numFmt w:val="bullet"/>
      <w:lvlText w:val=""/>
      <w:lvlJc w:val="left"/>
      <w:pPr>
        <w:ind w:left="2160" w:hanging="360"/>
      </w:pPr>
      <w:rPr>
        <w:rFonts w:ascii="Symbol" w:hAnsi="Symbol" w:cs="Symbol" w:hint="default"/>
        <w:sz w:val="22"/>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num w:numId="1">
    <w:abstractNumId w:val="4"/>
  </w:num>
  <w:num w:numId="2">
    <w:abstractNumId w:val="3"/>
  </w:num>
  <w:num w:numId="3">
    <w:abstractNumId w:val="7"/>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E0"/>
    <w:rsid w:val="00083DBC"/>
    <w:rsid w:val="0010009C"/>
    <w:rsid w:val="0015577E"/>
    <w:rsid w:val="001A6080"/>
    <w:rsid w:val="001D7FC9"/>
    <w:rsid w:val="0027077B"/>
    <w:rsid w:val="00282891"/>
    <w:rsid w:val="003178D2"/>
    <w:rsid w:val="003568E3"/>
    <w:rsid w:val="0036594B"/>
    <w:rsid w:val="00422817"/>
    <w:rsid w:val="004755CD"/>
    <w:rsid w:val="004A2EFF"/>
    <w:rsid w:val="004C6752"/>
    <w:rsid w:val="00507422"/>
    <w:rsid w:val="00516339"/>
    <w:rsid w:val="005943E1"/>
    <w:rsid w:val="005F06CB"/>
    <w:rsid w:val="006A11F9"/>
    <w:rsid w:val="0072011B"/>
    <w:rsid w:val="0072184A"/>
    <w:rsid w:val="007C6C63"/>
    <w:rsid w:val="00831412"/>
    <w:rsid w:val="00841DEA"/>
    <w:rsid w:val="009558A2"/>
    <w:rsid w:val="009901E4"/>
    <w:rsid w:val="00A601E6"/>
    <w:rsid w:val="00AE1ED6"/>
    <w:rsid w:val="00B20BC6"/>
    <w:rsid w:val="00B318DE"/>
    <w:rsid w:val="00B94711"/>
    <w:rsid w:val="00C214A5"/>
    <w:rsid w:val="00C92C77"/>
    <w:rsid w:val="00CD40E0"/>
    <w:rsid w:val="00E47EA5"/>
    <w:rsid w:val="00E72295"/>
    <w:rsid w:val="00E852DB"/>
    <w:rsid w:val="00EE436D"/>
    <w:rsid w:val="00F711DB"/>
    <w:rsid w:val="00FB58B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paragraph" w:styleId="Heading1">
    <w:name w:val="heading 1"/>
    <w:basedOn w:val="Normal"/>
    <w:next w:val="Normal"/>
    <w:link w:val="Heading1Char"/>
    <w:uiPriority w:val="9"/>
    <w:qFormat/>
    <w:rsid w:val="000A3C7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572C1"/>
    <w:rPr>
      <w:sz w:val="16"/>
      <w:szCs w:val="16"/>
    </w:rPr>
  </w:style>
  <w:style w:type="character" w:customStyle="1" w:styleId="CommentTextChar">
    <w:name w:val="Comment Text Char"/>
    <w:basedOn w:val="DefaultParagraphFont"/>
    <w:link w:val="CommentText"/>
    <w:uiPriority w:val="99"/>
    <w:semiHidden/>
    <w:qFormat/>
    <w:rsid w:val="00E572C1"/>
    <w:rPr>
      <w:sz w:val="20"/>
      <w:szCs w:val="20"/>
    </w:rPr>
  </w:style>
  <w:style w:type="character" w:customStyle="1" w:styleId="CommentSubjectChar">
    <w:name w:val="Comment Subject Char"/>
    <w:basedOn w:val="CommentTextChar"/>
    <w:link w:val="CommentSubject"/>
    <w:uiPriority w:val="99"/>
    <w:semiHidden/>
    <w:qFormat/>
    <w:rsid w:val="00E572C1"/>
    <w:rPr>
      <w:b/>
      <w:bCs/>
      <w:sz w:val="20"/>
      <w:szCs w:val="20"/>
    </w:rPr>
  </w:style>
  <w:style w:type="character" w:customStyle="1" w:styleId="BalloonTextChar">
    <w:name w:val="Balloon Text Char"/>
    <w:basedOn w:val="DefaultParagraphFont"/>
    <w:link w:val="BalloonText"/>
    <w:uiPriority w:val="99"/>
    <w:semiHidden/>
    <w:qFormat/>
    <w:rsid w:val="00E572C1"/>
    <w:rPr>
      <w:rFonts w:ascii="Tahoma" w:hAnsi="Tahoma" w:cs="Tahoma"/>
      <w:sz w:val="16"/>
      <w:szCs w:val="16"/>
    </w:rPr>
  </w:style>
  <w:style w:type="character" w:customStyle="1" w:styleId="LienInternet">
    <w:name w:val="Lien Internet"/>
    <w:basedOn w:val="DefaultParagraphFont"/>
    <w:uiPriority w:val="99"/>
    <w:unhideWhenUsed/>
    <w:rsid w:val="00152D85"/>
    <w:rPr>
      <w:color w:val="0000FF" w:themeColor="hyperlink"/>
      <w:u w:val="single"/>
    </w:rPr>
  </w:style>
  <w:style w:type="character" w:customStyle="1" w:styleId="HeaderChar">
    <w:name w:val="Header Char"/>
    <w:basedOn w:val="DefaultParagraphFont"/>
    <w:link w:val="Header"/>
    <w:uiPriority w:val="99"/>
    <w:qFormat/>
    <w:rsid w:val="00466493"/>
  </w:style>
  <w:style w:type="character" w:customStyle="1" w:styleId="FooterChar">
    <w:name w:val="Footer Char"/>
    <w:basedOn w:val="DefaultParagraphFont"/>
    <w:link w:val="Footer"/>
    <w:uiPriority w:val="99"/>
    <w:qFormat/>
    <w:rsid w:val="00466493"/>
  </w:style>
  <w:style w:type="character" w:customStyle="1" w:styleId="Heading1Char">
    <w:name w:val="Heading 1 Char"/>
    <w:basedOn w:val="DefaultParagraphFont"/>
    <w:link w:val="Heading1"/>
    <w:uiPriority w:val="9"/>
    <w:qFormat/>
    <w:rsid w:val="000A3C7E"/>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sz w:val="28"/>
    </w:rPr>
  </w:style>
  <w:style w:type="character" w:customStyle="1" w:styleId="ListLabel2">
    <w:name w:val="ListLabel 2"/>
    <w:qFormat/>
    <w:rPr>
      <w:b/>
      <w:sz w:val="23"/>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2"/>
    </w:rPr>
  </w:style>
  <w:style w:type="character" w:customStyle="1" w:styleId="ListLabel7">
    <w:name w:val="ListLabel 7"/>
    <w:qFormat/>
    <w:rPr>
      <w:sz w:val="2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rPr>
  </w:style>
  <w:style w:type="character" w:customStyle="1" w:styleId="ListLabel12">
    <w:name w:val="ListLabel 12"/>
    <w:qFormat/>
    <w:rPr>
      <w:b/>
      <w:sz w:val="23"/>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Calibri" w:hAnsi="Calibri" w:cs="Symbol"/>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b/>
    </w:rPr>
  </w:style>
  <w:style w:type="paragraph" w:customStyle="1" w:styleId="Titre">
    <w:name w:val="Titr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3F1113"/>
    <w:pPr>
      <w:ind w:left="720"/>
      <w:contextualSpacing/>
    </w:pPr>
  </w:style>
  <w:style w:type="paragraph" w:customStyle="1" w:styleId="Default">
    <w:name w:val="Default"/>
    <w:qFormat/>
    <w:rsid w:val="001808BA"/>
    <w:rPr>
      <w:rFonts w:ascii="Times New Roman" w:eastAsia="Calibri" w:hAnsi="Times New Roman" w:cs="Times New Roman"/>
      <w:color w:val="000000"/>
      <w:sz w:val="24"/>
      <w:szCs w:val="24"/>
    </w:rPr>
  </w:style>
  <w:style w:type="paragraph" w:styleId="CommentText">
    <w:name w:val="annotation text"/>
    <w:basedOn w:val="Normal"/>
    <w:link w:val="CommentTextChar"/>
    <w:uiPriority w:val="99"/>
    <w:semiHidden/>
    <w:unhideWhenUsed/>
    <w:qFormat/>
    <w:rsid w:val="00E572C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572C1"/>
    <w:rPr>
      <w:b/>
      <w:bCs/>
    </w:rPr>
  </w:style>
  <w:style w:type="paragraph" w:styleId="BalloonText">
    <w:name w:val="Balloon Text"/>
    <w:basedOn w:val="Normal"/>
    <w:link w:val="BalloonTextChar"/>
    <w:uiPriority w:val="99"/>
    <w:semiHidden/>
    <w:unhideWhenUsed/>
    <w:qFormat/>
    <w:rsid w:val="00E572C1"/>
    <w:pPr>
      <w:spacing w:after="0" w:line="240" w:lineRule="auto"/>
    </w:pPr>
    <w:rPr>
      <w:rFonts w:ascii="Tahoma" w:hAnsi="Tahoma" w:cs="Tahoma"/>
      <w:sz w:val="16"/>
      <w:szCs w:val="16"/>
    </w:rPr>
  </w:style>
  <w:style w:type="paragraph" w:styleId="Header">
    <w:name w:val="header"/>
    <w:basedOn w:val="Normal"/>
    <w:link w:val="HeaderChar"/>
    <w:uiPriority w:val="99"/>
    <w:unhideWhenUsed/>
    <w:rsid w:val="00466493"/>
    <w:pPr>
      <w:tabs>
        <w:tab w:val="center" w:pos="4513"/>
        <w:tab w:val="right" w:pos="9026"/>
      </w:tabs>
      <w:spacing w:after="0" w:line="240" w:lineRule="auto"/>
    </w:pPr>
  </w:style>
  <w:style w:type="paragraph" w:styleId="Footer">
    <w:name w:val="footer"/>
    <w:basedOn w:val="Normal"/>
    <w:link w:val="FooterChar"/>
    <w:uiPriority w:val="99"/>
    <w:unhideWhenUsed/>
    <w:rsid w:val="00466493"/>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0E3F5E"/>
    <w:rPr>
      <w:lang w:val="en-US" w:eastAsia="ja-JP"/>
    </w:rPr>
  </w:style>
  <w:style w:type="table" w:styleId="TableGrid">
    <w:name w:val="Table Grid"/>
    <w:basedOn w:val="TableNormal"/>
    <w:uiPriority w:val="59"/>
    <w:rsid w:val="00915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paragraph" w:styleId="Heading1">
    <w:name w:val="heading 1"/>
    <w:basedOn w:val="Normal"/>
    <w:next w:val="Normal"/>
    <w:link w:val="Heading1Char"/>
    <w:uiPriority w:val="9"/>
    <w:qFormat/>
    <w:rsid w:val="000A3C7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572C1"/>
    <w:rPr>
      <w:sz w:val="16"/>
      <w:szCs w:val="16"/>
    </w:rPr>
  </w:style>
  <w:style w:type="character" w:customStyle="1" w:styleId="CommentTextChar">
    <w:name w:val="Comment Text Char"/>
    <w:basedOn w:val="DefaultParagraphFont"/>
    <w:link w:val="CommentText"/>
    <w:uiPriority w:val="99"/>
    <w:semiHidden/>
    <w:qFormat/>
    <w:rsid w:val="00E572C1"/>
    <w:rPr>
      <w:sz w:val="20"/>
      <w:szCs w:val="20"/>
    </w:rPr>
  </w:style>
  <w:style w:type="character" w:customStyle="1" w:styleId="CommentSubjectChar">
    <w:name w:val="Comment Subject Char"/>
    <w:basedOn w:val="CommentTextChar"/>
    <w:link w:val="CommentSubject"/>
    <w:uiPriority w:val="99"/>
    <w:semiHidden/>
    <w:qFormat/>
    <w:rsid w:val="00E572C1"/>
    <w:rPr>
      <w:b/>
      <w:bCs/>
      <w:sz w:val="20"/>
      <w:szCs w:val="20"/>
    </w:rPr>
  </w:style>
  <w:style w:type="character" w:customStyle="1" w:styleId="BalloonTextChar">
    <w:name w:val="Balloon Text Char"/>
    <w:basedOn w:val="DefaultParagraphFont"/>
    <w:link w:val="BalloonText"/>
    <w:uiPriority w:val="99"/>
    <w:semiHidden/>
    <w:qFormat/>
    <w:rsid w:val="00E572C1"/>
    <w:rPr>
      <w:rFonts w:ascii="Tahoma" w:hAnsi="Tahoma" w:cs="Tahoma"/>
      <w:sz w:val="16"/>
      <w:szCs w:val="16"/>
    </w:rPr>
  </w:style>
  <w:style w:type="character" w:customStyle="1" w:styleId="LienInternet">
    <w:name w:val="Lien Internet"/>
    <w:basedOn w:val="DefaultParagraphFont"/>
    <w:uiPriority w:val="99"/>
    <w:unhideWhenUsed/>
    <w:rsid w:val="00152D85"/>
    <w:rPr>
      <w:color w:val="0000FF" w:themeColor="hyperlink"/>
      <w:u w:val="single"/>
    </w:rPr>
  </w:style>
  <w:style w:type="character" w:customStyle="1" w:styleId="HeaderChar">
    <w:name w:val="Header Char"/>
    <w:basedOn w:val="DefaultParagraphFont"/>
    <w:link w:val="Header"/>
    <w:uiPriority w:val="99"/>
    <w:qFormat/>
    <w:rsid w:val="00466493"/>
  </w:style>
  <w:style w:type="character" w:customStyle="1" w:styleId="FooterChar">
    <w:name w:val="Footer Char"/>
    <w:basedOn w:val="DefaultParagraphFont"/>
    <w:link w:val="Footer"/>
    <w:uiPriority w:val="99"/>
    <w:qFormat/>
    <w:rsid w:val="00466493"/>
  </w:style>
  <w:style w:type="character" w:customStyle="1" w:styleId="Heading1Char">
    <w:name w:val="Heading 1 Char"/>
    <w:basedOn w:val="DefaultParagraphFont"/>
    <w:link w:val="Heading1"/>
    <w:uiPriority w:val="9"/>
    <w:qFormat/>
    <w:rsid w:val="000A3C7E"/>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sz w:val="28"/>
    </w:rPr>
  </w:style>
  <w:style w:type="character" w:customStyle="1" w:styleId="ListLabel2">
    <w:name w:val="ListLabel 2"/>
    <w:qFormat/>
    <w:rPr>
      <w:b/>
      <w:sz w:val="23"/>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2"/>
    </w:rPr>
  </w:style>
  <w:style w:type="character" w:customStyle="1" w:styleId="ListLabel7">
    <w:name w:val="ListLabel 7"/>
    <w:qFormat/>
    <w:rPr>
      <w:sz w:val="2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rPr>
  </w:style>
  <w:style w:type="character" w:customStyle="1" w:styleId="ListLabel12">
    <w:name w:val="ListLabel 12"/>
    <w:qFormat/>
    <w:rPr>
      <w:b/>
      <w:sz w:val="23"/>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Calibri" w:hAnsi="Calibri" w:cs="Symbol"/>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b/>
    </w:rPr>
  </w:style>
  <w:style w:type="paragraph" w:customStyle="1" w:styleId="Titre">
    <w:name w:val="Titr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3F1113"/>
    <w:pPr>
      <w:ind w:left="720"/>
      <w:contextualSpacing/>
    </w:pPr>
  </w:style>
  <w:style w:type="paragraph" w:customStyle="1" w:styleId="Default">
    <w:name w:val="Default"/>
    <w:qFormat/>
    <w:rsid w:val="001808BA"/>
    <w:rPr>
      <w:rFonts w:ascii="Times New Roman" w:eastAsia="Calibri" w:hAnsi="Times New Roman" w:cs="Times New Roman"/>
      <w:color w:val="000000"/>
      <w:sz w:val="24"/>
      <w:szCs w:val="24"/>
    </w:rPr>
  </w:style>
  <w:style w:type="paragraph" w:styleId="CommentText">
    <w:name w:val="annotation text"/>
    <w:basedOn w:val="Normal"/>
    <w:link w:val="CommentTextChar"/>
    <w:uiPriority w:val="99"/>
    <w:semiHidden/>
    <w:unhideWhenUsed/>
    <w:qFormat/>
    <w:rsid w:val="00E572C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572C1"/>
    <w:rPr>
      <w:b/>
      <w:bCs/>
    </w:rPr>
  </w:style>
  <w:style w:type="paragraph" w:styleId="BalloonText">
    <w:name w:val="Balloon Text"/>
    <w:basedOn w:val="Normal"/>
    <w:link w:val="BalloonTextChar"/>
    <w:uiPriority w:val="99"/>
    <w:semiHidden/>
    <w:unhideWhenUsed/>
    <w:qFormat/>
    <w:rsid w:val="00E572C1"/>
    <w:pPr>
      <w:spacing w:after="0" w:line="240" w:lineRule="auto"/>
    </w:pPr>
    <w:rPr>
      <w:rFonts w:ascii="Tahoma" w:hAnsi="Tahoma" w:cs="Tahoma"/>
      <w:sz w:val="16"/>
      <w:szCs w:val="16"/>
    </w:rPr>
  </w:style>
  <w:style w:type="paragraph" w:styleId="Header">
    <w:name w:val="header"/>
    <w:basedOn w:val="Normal"/>
    <w:link w:val="HeaderChar"/>
    <w:uiPriority w:val="99"/>
    <w:unhideWhenUsed/>
    <w:rsid w:val="00466493"/>
    <w:pPr>
      <w:tabs>
        <w:tab w:val="center" w:pos="4513"/>
        <w:tab w:val="right" w:pos="9026"/>
      </w:tabs>
      <w:spacing w:after="0" w:line="240" w:lineRule="auto"/>
    </w:pPr>
  </w:style>
  <w:style w:type="paragraph" w:styleId="Footer">
    <w:name w:val="footer"/>
    <w:basedOn w:val="Normal"/>
    <w:link w:val="FooterChar"/>
    <w:uiPriority w:val="99"/>
    <w:unhideWhenUsed/>
    <w:rsid w:val="00466493"/>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0E3F5E"/>
    <w:rPr>
      <w:lang w:val="en-US" w:eastAsia="ja-JP"/>
    </w:rPr>
  </w:style>
  <w:style w:type="table" w:styleId="TableGrid">
    <w:name w:val="Table Grid"/>
    <w:basedOn w:val="TableNormal"/>
    <w:uiPriority w:val="59"/>
    <w:rsid w:val="00915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68649">
      <w:bodyDiv w:val="1"/>
      <w:marLeft w:val="0"/>
      <w:marRight w:val="0"/>
      <w:marTop w:val="0"/>
      <w:marBottom w:val="0"/>
      <w:divBdr>
        <w:top w:val="none" w:sz="0" w:space="0" w:color="auto"/>
        <w:left w:val="none" w:sz="0" w:space="0" w:color="auto"/>
        <w:bottom w:val="none" w:sz="0" w:space="0" w:color="auto"/>
        <w:right w:val="none" w:sz="0" w:space="0" w:color="auto"/>
      </w:divBdr>
      <w:divsChild>
        <w:div w:id="352927608">
          <w:marLeft w:val="0"/>
          <w:marRight w:val="0"/>
          <w:marTop w:val="0"/>
          <w:marBottom w:val="0"/>
          <w:divBdr>
            <w:top w:val="none" w:sz="0" w:space="0" w:color="auto"/>
            <w:left w:val="none" w:sz="0" w:space="0" w:color="auto"/>
            <w:bottom w:val="none" w:sz="0" w:space="0" w:color="auto"/>
            <w:right w:val="none" w:sz="0" w:space="0" w:color="auto"/>
          </w:divBdr>
          <w:divsChild>
            <w:div w:id="582683736">
              <w:marLeft w:val="0"/>
              <w:marRight w:val="0"/>
              <w:marTop w:val="0"/>
              <w:marBottom w:val="0"/>
              <w:divBdr>
                <w:top w:val="none" w:sz="0" w:space="0" w:color="auto"/>
                <w:left w:val="none" w:sz="0" w:space="0" w:color="auto"/>
                <w:bottom w:val="none" w:sz="0" w:space="0" w:color="auto"/>
                <w:right w:val="none" w:sz="0" w:space="0" w:color="auto"/>
              </w:divBdr>
              <w:divsChild>
                <w:div w:id="2085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s.iucn.org/b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rtals.iucn.org/best/?q=content/useful-information-best-2-0-projec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FEE4-BB11-4FFA-9F06-990168E7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IUCN\RosenbergA</dc:creator>
  <cp:lastModifiedBy>IUCN\MitchellD</cp:lastModifiedBy>
  <cp:revision>11</cp:revision>
  <dcterms:created xsi:type="dcterms:W3CDTF">2016-11-01T10:37:00Z</dcterms:created>
  <dcterms:modified xsi:type="dcterms:W3CDTF">2017-01-31T15:54:00Z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IUCN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