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84" w:rsidRPr="001D7C31" w:rsidRDefault="00F70484" w:rsidP="00F70484">
      <w:pPr>
        <w:shd w:val="clear" w:color="auto" w:fill="B6DDE8"/>
        <w:suppressAutoHyphens/>
        <w:jc w:val="center"/>
        <w:rPr>
          <w:rFonts w:eastAsia="Arial Unicode MS" w:cs="Arial"/>
          <w:b/>
          <w:kern w:val="1"/>
          <w:sz w:val="24"/>
          <w:szCs w:val="24"/>
          <w:lang w:eastAsia="ar-SA"/>
        </w:rPr>
      </w:pPr>
      <w:r w:rsidRPr="001D7C31">
        <w:rPr>
          <w:rFonts w:eastAsia="Arial Unicode MS" w:cs="Arial"/>
          <w:b/>
          <w:kern w:val="1"/>
          <w:sz w:val="24"/>
          <w:szCs w:val="24"/>
          <w:lang w:eastAsia="ar-SA"/>
        </w:rPr>
        <w:t>APPLICANT DECLARATION</w:t>
      </w:r>
    </w:p>
    <w:p w:rsidR="00F70484" w:rsidRDefault="00F70484" w:rsidP="00F70484">
      <w:pPr>
        <w:spacing w:line="240" w:lineRule="auto"/>
        <w:rPr>
          <w:rFonts w:cs="Arial"/>
          <w:b/>
          <w:sz w:val="16"/>
          <w:szCs w:val="16"/>
        </w:rPr>
      </w:pPr>
    </w:p>
    <w:p w:rsidR="00F70484" w:rsidRPr="001D7C31" w:rsidRDefault="00F70484" w:rsidP="00F70484">
      <w:pPr>
        <w:spacing w:line="240" w:lineRule="auto"/>
        <w:rPr>
          <w:rFonts w:cs="Arial"/>
          <w:b/>
          <w:sz w:val="16"/>
          <w:szCs w:val="16"/>
        </w:rPr>
      </w:pPr>
    </w:p>
    <w:p w:rsidR="00F70484" w:rsidRDefault="00F70484" w:rsidP="00F70484">
      <w:pPr>
        <w:spacing w:before="60" w:after="60" w:line="240" w:lineRule="auto"/>
        <w:jc w:val="both"/>
        <w:rPr>
          <w:rFonts w:cs="Arial"/>
        </w:rPr>
      </w:pPr>
    </w:p>
    <w:p w:rsidR="00F70484" w:rsidRDefault="00F70484" w:rsidP="00F70484">
      <w:pPr>
        <w:spacing w:before="60" w:after="60" w:line="240" w:lineRule="auto"/>
        <w:jc w:val="both"/>
        <w:rPr>
          <w:rFonts w:cs="Arial"/>
        </w:rPr>
      </w:pPr>
      <w:r w:rsidRPr="001D7C31">
        <w:rPr>
          <w:rFonts w:cs="Arial"/>
        </w:rPr>
        <w:t>The applicant, represented by the undersigned, being the authorised signatory of the applicant, in the context of the present call for proposals, representing any co-applicant(s)</w:t>
      </w:r>
      <w:r>
        <w:rPr>
          <w:rFonts w:cs="Arial"/>
        </w:rPr>
        <w:t xml:space="preserve"> and affiliated </w:t>
      </w:r>
      <w:proofErr w:type="gramStart"/>
      <w:r>
        <w:rPr>
          <w:rFonts w:cs="Arial"/>
        </w:rPr>
        <w:t>entity(</w:t>
      </w:r>
      <w:proofErr w:type="spellStart"/>
      <w:proofErr w:type="gramEnd"/>
      <w:r>
        <w:rPr>
          <w:rFonts w:cs="Arial"/>
        </w:rPr>
        <w:t>ies</w:t>
      </w:r>
      <w:proofErr w:type="spellEnd"/>
      <w:r>
        <w:rPr>
          <w:rFonts w:cs="Arial"/>
        </w:rPr>
        <w:t>)</w:t>
      </w:r>
      <w:r w:rsidRPr="001D7C31">
        <w:rPr>
          <w:rFonts w:cs="Arial"/>
        </w:rPr>
        <w:t xml:space="preserve"> in the proposed action, hereby declares that:</w:t>
      </w:r>
    </w:p>
    <w:p w:rsidR="00F70484" w:rsidRPr="001D7C31" w:rsidRDefault="00F70484" w:rsidP="00F70484">
      <w:pPr>
        <w:spacing w:line="240" w:lineRule="auto"/>
        <w:jc w:val="both"/>
        <w:rPr>
          <w:rFonts w:cs="Arial"/>
        </w:rPr>
      </w:pPr>
    </w:p>
    <w:p w:rsidR="00F70484" w:rsidRDefault="00F70484" w:rsidP="00F70484">
      <w:pPr>
        <w:numPr>
          <w:ilvl w:val="0"/>
          <w:numId w:val="3"/>
        </w:numPr>
        <w:spacing w:line="240" w:lineRule="auto"/>
        <w:ind w:left="426" w:hanging="284"/>
        <w:jc w:val="both"/>
        <w:rPr>
          <w:rFonts w:cs="Arial"/>
        </w:rPr>
      </w:pPr>
      <w:r w:rsidRPr="001D7C31">
        <w:rPr>
          <w:rFonts w:cs="Arial"/>
        </w:rPr>
        <w:t>the applicant has sufficient financial capacity to carry out the proposed action or work programme;</w:t>
      </w:r>
    </w:p>
    <w:p w:rsidR="00F70484" w:rsidRPr="001D7C31" w:rsidRDefault="00F70484" w:rsidP="00F70484">
      <w:pPr>
        <w:spacing w:line="240" w:lineRule="auto"/>
        <w:ind w:left="426"/>
        <w:jc w:val="both"/>
        <w:rPr>
          <w:rFonts w:cs="Arial"/>
        </w:rPr>
      </w:pPr>
    </w:p>
    <w:p w:rsidR="00F70484" w:rsidRDefault="00F70484" w:rsidP="00F70484">
      <w:pPr>
        <w:numPr>
          <w:ilvl w:val="0"/>
          <w:numId w:val="3"/>
        </w:numPr>
        <w:spacing w:line="240" w:lineRule="auto"/>
        <w:ind w:left="426" w:hanging="284"/>
        <w:jc w:val="both"/>
        <w:rPr>
          <w:rFonts w:cs="Arial"/>
        </w:rPr>
      </w:pPr>
      <w:r w:rsidRPr="001D7C31">
        <w:rPr>
          <w:rFonts w:cs="Arial"/>
        </w:rPr>
        <w:t>the applicant certifies the legal statues of the applicant and of the co-applicant(s)</w:t>
      </w:r>
      <w:r>
        <w:rPr>
          <w:rFonts w:cs="Arial"/>
        </w:rPr>
        <w:t xml:space="preserve"> and affiliated entity(</w:t>
      </w:r>
      <w:proofErr w:type="spellStart"/>
      <w:r>
        <w:rPr>
          <w:rFonts w:cs="Arial"/>
        </w:rPr>
        <w:t>ies</w:t>
      </w:r>
      <w:proofErr w:type="spellEnd"/>
      <w:r>
        <w:rPr>
          <w:rFonts w:cs="Arial"/>
        </w:rPr>
        <w:t>)</w:t>
      </w:r>
      <w:r w:rsidRPr="001D7C31">
        <w:rPr>
          <w:rFonts w:cs="Arial"/>
        </w:rPr>
        <w:t xml:space="preserve"> </w:t>
      </w:r>
      <w:r>
        <w:rPr>
          <w:rFonts w:cs="Arial"/>
        </w:rPr>
        <w:t>as reported in the application;</w:t>
      </w:r>
    </w:p>
    <w:p w:rsidR="00F70484" w:rsidRPr="001D7C31" w:rsidRDefault="00F70484" w:rsidP="00F70484">
      <w:pPr>
        <w:spacing w:line="240" w:lineRule="auto"/>
        <w:ind w:left="426"/>
        <w:jc w:val="both"/>
        <w:rPr>
          <w:rFonts w:cs="Arial"/>
        </w:rPr>
      </w:pPr>
    </w:p>
    <w:p w:rsidR="00F70484" w:rsidRPr="001D7C31" w:rsidRDefault="00F70484" w:rsidP="00F70484">
      <w:pPr>
        <w:numPr>
          <w:ilvl w:val="0"/>
          <w:numId w:val="3"/>
        </w:numPr>
        <w:spacing w:line="240" w:lineRule="auto"/>
        <w:ind w:left="426" w:hanging="284"/>
        <w:jc w:val="both"/>
        <w:rPr>
          <w:rFonts w:cs="Arial"/>
        </w:rPr>
      </w:pPr>
      <w:r w:rsidRPr="001D7C31">
        <w:rPr>
          <w:rFonts w:cs="Arial"/>
        </w:rPr>
        <w:t>the applicant and the co-applicant(s) have the professional competences and qualifications specified in</w:t>
      </w:r>
      <w:r>
        <w:rPr>
          <w:rFonts w:cs="Arial"/>
        </w:rPr>
        <w:t xml:space="preserve"> the Guidelines for Applicants;</w:t>
      </w:r>
    </w:p>
    <w:p w:rsidR="00F70484" w:rsidRDefault="00F70484" w:rsidP="00F70484">
      <w:pPr>
        <w:spacing w:line="240" w:lineRule="auto"/>
        <w:ind w:left="426"/>
        <w:jc w:val="both"/>
        <w:rPr>
          <w:rFonts w:cs="Arial"/>
        </w:rPr>
      </w:pPr>
    </w:p>
    <w:p w:rsidR="00F70484" w:rsidRPr="001D7C31" w:rsidRDefault="00F70484" w:rsidP="00F70484">
      <w:pPr>
        <w:numPr>
          <w:ilvl w:val="0"/>
          <w:numId w:val="3"/>
        </w:numPr>
        <w:spacing w:line="240" w:lineRule="auto"/>
        <w:ind w:left="426" w:hanging="284"/>
        <w:jc w:val="both"/>
        <w:rPr>
          <w:rFonts w:cs="Arial"/>
        </w:rPr>
      </w:pPr>
      <w:r w:rsidRPr="001D7C31">
        <w:rPr>
          <w:rFonts w:cs="Arial"/>
        </w:rPr>
        <w:t xml:space="preserve">the applicant undertakes to comply with the principles of good partnership practice; </w:t>
      </w:r>
    </w:p>
    <w:p w:rsidR="00F70484" w:rsidRDefault="00F70484" w:rsidP="00F70484">
      <w:pPr>
        <w:spacing w:line="240" w:lineRule="auto"/>
        <w:ind w:left="426"/>
        <w:jc w:val="both"/>
        <w:rPr>
          <w:rFonts w:cs="Arial"/>
        </w:rPr>
      </w:pPr>
    </w:p>
    <w:p w:rsidR="00F70484" w:rsidRDefault="00F70484" w:rsidP="00F70484">
      <w:pPr>
        <w:numPr>
          <w:ilvl w:val="0"/>
          <w:numId w:val="3"/>
        </w:numPr>
        <w:spacing w:line="240" w:lineRule="auto"/>
        <w:ind w:left="426" w:hanging="284"/>
        <w:jc w:val="both"/>
        <w:rPr>
          <w:rFonts w:cs="Arial"/>
        </w:rPr>
      </w:pPr>
      <w:r w:rsidRPr="001D7C31">
        <w:rPr>
          <w:rFonts w:cs="Arial"/>
        </w:rPr>
        <w:t>the applicant is directly responsible for the preparation, management and implementation of the action with the co-applicant(s), if any, and is not acting as an intermediary;</w:t>
      </w:r>
    </w:p>
    <w:p w:rsidR="00F70484" w:rsidRPr="001D7C31" w:rsidRDefault="00F70484" w:rsidP="00F70484">
      <w:pPr>
        <w:spacing w:line="240" w:lineRule="auto"/>
        <w:ind w:left="142"/>
        <w:jc w:val="both"/>
        <w:rPr>
          <w:rFonts w:cs="Arial"/>
        </w:rPr>
      </w:pPr>
    </w:p>
    <w:p w:rsidR="00F70484" w:rsidRDefault="00F70484" w:rsidP="00F70484">
      <w:pPr>
        <w:numPr>
          <w:ilvl w:val="0"/>
          <w:numId w:val="3"/>
        </w:numPr>
        <w:spacing w:line="240" w:lineRule="auto"/>
        <w:ind w:left="426" w:hanging="284"/>
        <w:jc w:val="both"/>
        <w:rPr>
          <w:rFonts w:cs="Arial"/>
        </w:rPr>
      </w:pPr>
      <w:r>
        <w:rPr>
          <w:rFonts w:cs="Arial"/>
        </w:rPr>
        <w:t>T</w:t>
      </w:r>
      <w:r w:rsidRPr="001D7C31">
        <w:rPr>
          <w:rFonts w:cs="Arial"/>
        </w:rPr>
        <w:t xml:space="preserve">he applicant and the co-applicant(s) are not in any of the situations excluding them from participating in contracts which are listed in </w:t>
      </w:r>
      <w:hyperlink r:id="rId6" w:history="1">
        <w:r w:rsidRPr="00FE0E1D">
          <w:rPr>
            <w:rStyle w:val="Hyperlink"/>
            <w:rFonts w:cs="Arial"/>
          </w:rPr>
          <w:t>Section 2.3.3</w:t>
        </w:r>
      </w:hyperlink>
      <w:r w:rsidRPr="001D7C31">
        <w:rPr>
          <w:rFonts w:cs="Arial"/>
        </w:rPr>
        <w:t xml:space="preserve"> of the Practical Guide (available from the following Internet address:</w:t>
      </w:r>
      <w:r>
        <w:rPr>
          <w:rFonts w:cs="Arial"/>
        </w:rPr>
        <w:t xml:space="preserve"> </w:t>
      </w:r>
      <w:hyperlink r:id="rId7" w:history="1">
        <w:r w:rsidRPr="00BE2C46">
          <w:rPr>
            <w:rStyle w:val="Hyperlink"/>
          </w:rPr>
          <w:t>http://ec.europa.eu/europeaid/prag/document.do</w:t>
        </w:r>
      </w:hyperlink>
      <w:r>
        <w:rPr>
          <w:rStyle w:val="Hyperlink"/>
        </w:rPr>
        <w:t>)</w:t>
      </w:r>
      <w:r>
        <w:t>.</w:t>
      </w:r>
      <w:r w:rsidRPr="001D7C31">
        <w:rPr>
          <w:rFonts w:cs="Arial"/>
        </w:rPr>
        <w:t xml:space="preserve"> Furthermore, it is recognised and accepted that if the applicant and co-applicant(s) (if any) participate in spite of being in any of these situations, they may be excluded from other procedures in accordance with </w:t>
      </w:r>
      <w:hyperlink r:id="rId8" w:history="1">
        <w:r w:rsidRPr="00FE0E1D">
          <w:rPr>
            <w:rStyle w:val="Hyperlink"/>
            <w:rFonts w:cs="Arial"/>
          </w:rPr>
          <w:t>Section 2.3.4</w:t>
        </w:r>
      </w:hyperlink>
      <w:r w:rsidRPr="001D7C31">
        <w:rPr>
          <w:rFonts w:cs="Arial"/>
        </w:rPr>
        <w:t xml:space="preserve"> of the Practical Guide;</w:t>
      </w:r>
    </w:p>
    <w:p w:rsidR="00F70484" w:rsidRPr="001D7C31" w:rsidRDefault="00F70484" w:rsidP="00F70484">
      <w:pPr>
        <w:spacing w:line="240" w:lineRule="auto"/>
        <w:ind w:left="426"/>
        <w:jc w:val="both"/>
        <w:rPr>
          <w:rFonts w:cs="Arial"/>
        </w:rPr>
      </w:pPr>
      <w:r w:rsidRPr="001D7C31">
        <w:rPr>
          <w:rFonts w:cs="Arial"/>
        </w:rPr>
        <w:t xml:space="preserve"> </w:t>
      </w:r>
    </w:p>
    <w:p w:rsidR="00F70484" w:rsidRDefault="00F70484" w:rsidP="00F70484">
      <w:pPr>
        <w:numPr>
          <w:ilvl w:val="0"/>
          <w:numId w:val="3"/>
        </w:numPr>
        <w:spacing w:line="240" w:lineRule="auto"/>
        <w:ind w:left="426" w:hanging="284"/>
        <w:jc w:val="both"/>
        <w:rPr>
          <w:rFonts w:cs="Arial"/>
        </w:rPr>
      </w:pPr>
      <w:r w:rsidRPr="001D7C31">
        <w:rPr>
          <w:rFonts w:cs="Arial"/>
        </w:rPr>
        <w:t>the applicant and each co-applicant</w:t>
      </w:r>
      <w:r>
        <w:rPr>
          <w:rFonts w:cs="Arial"/>
        </w:rPr>
        <w:t xml:space="preserve"> and affiliated entity</w:t>
      </w:r>
      <w:r w:rsidRPr="001D7C31">
        <w:rPr>
          <w:rFonts w:cs="Arial"/>
        </w:rPr>
        <w:t xml:space="preserve"> (if any) are eligible in accordance with the criteria set out in</w:t>
      </w:r>
      <w:r>
        <w:rPr>
          <w:rFonts w:cs="Arial"/>
        </w:rPr>
        <w:t xml:space="preserve"> the Guidelines for Applicants;</w:t>
      </w:r>
    </w:p>
    <w:p w:rsidR="00F70484" w:rsidRPr="001D7C31" w:rsidRDefault="00F70484" w:rsidP="00F70484">
      <w:pPr>
        <w:spacing w:line="240" w:lineRule="auto"/>
        <w:jc w:val="both"/>
        <w:rPr>
          <w:rFonts w:cs="Arial"/>
        </w:rPr>
      </w:pPr>
    </w:p>
    <w:p w:rsidR="00F70484" w:rsidRPr="001D7C31" w:rsidRDefault="00F70484" w:rsidP="00F70484">
      <w:pPr>
        <w:numPr>
          <w:ilvl w:val="0"/>
          <w:numId w:val="3"/>
        </w:numPr>
        <w:spacing w:line="240" w:lineRule="auto"/>
        <w:ind w:left="426" w:hanging="284"/>
        <w:jc w:val="both"/>
        <w:rPr>
          <w:rFonts w:cs="Arial"/>
        </w:rPr>
      </w:pPr>
      <w:r w:rsidRPr="001D7C31">
        <w:rPr>
          <w:rFonts w:cs="Arial"/>
        </w:rPr>
        <w:t>if recommended to be awarded a grant, the applicant, the co-applicant(s) and the affiliated entity(</w:t>
      </w:r>
      <w:proofErr w:type="spellStart"/>
      <w:r w:rsidRPr="001D7C31">
        <w:rPr>
          <w:rFonts w:cs="Arial"/>
        </w:rPr>
        <w:t>ies</w:t>
      </w:r>
      <w:proofErr w:type="spellEnd"/>
      <w:r w:rsidRPr="001D7C31">
        <w:rPr>
          <w:rFonts w:cs="Arial"/>
        </w:rPr>
        <w:t>) accept the contractual conditions as laid down in the Standard Contract annexed to the Guidelines for Applicants;</w:t>
      </w:r>
    </w:p>
    <w:p w:rsidR="00F70484" w:rsidRDefault="00F70484" w:rsidP="00F70484">
      <w:pPr>
        <w:spacing w:line="240" w:lineRule="auto"/>
        <w:ind w:left="426"/>
        <w:jc w:val="both"/>
        <w:rPr>
          <w:rFonts w:cs="Arial"/>
        </w:rPr>
      </w:pPr>
    </w:p>
    <w:p w:rsidR="00F70484" w:rsidRPr="001D7C31" w:rsidRDefault="00F70484" w:rsidP="00F70484">
      <w:pPr>
        <w:numPr>
          <w:ilvl w:val="0"/>
          <w:numId w:val="3"/>
        </w:numPr>
        <w:spacing w:line="240" w:lineRule="auto"/>
        <w:ind w:left="426" w:hanging="284"/>
        <w:jc w:val="both"/>
        <w:rPr>
          <w:rFonts w:cs="Arial"/>
        </w:rPr>
      </w:pPr>
      <w:proofErr w:type="gramStart"/>
      <w:r w:rsidRPr="001D7C31">
        <w:rPr>
          <w:rFonts w:cs="Arial"/>
        </w:rPr>
        <w:t>the</w:t>
      </w:r>
      <w:proofErr w:type="gramEnd"/>
      <w:r w:rsidRPr="001D7C31">
        <w:rPr>
          <w:rFonts w:cs="Arial"/>
        </w:rPr>
        <w:t xml:space="preserv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 </w:t>
      </w:r>
    </w:p>
    <w:p w:rsidR="00F70484" w:rsidRDefault="00F70484" w:rsidP="00F70484">
      <w:pPr>
        <w:spacing w:line="240" w:lineRule="auto"/>
        <w:jc w:val="both"/>
        <w:rPr>
          <w:rFonts w:cs="Arial"/>
        </w:rPr>
      </w:pPr>
    </w:p>
    <w:p w:rsidR="00F70484" w:rsidRDefault="00F70484" w:rsidP="00F70484">
      <w:pPr>
        <w:spacing w:line="240" w:lineRule="auto"/>
        <w:jc w:val="both"/>
        <w:rPr>
          <w:rFonts w:cs="Arial"/>
        </w:rPr>
      </w:pPr>
      <w:r w:rsidRPr="001D7C31">
        <w:rPr>
          <w:rFonts w:cs="Arial"/>
        </w:rPr>
        <w:t xml:space="preserve">The applicant is fully aware of the obligation to inform without delay the </w:t>
      </w:r>
      <w:r>
        <w:rPr>
          <w:rFonts w:cs="Arial"/>
        </w:rPr>
        <w:t>BEST 2.0 Secretariat</w:t>
      </w:r>
      <w:r w:rsidRPr="001D7C31">
        <w:rPr>
          <w:rFonts w:cs="Arial"/>
        </w:rPr>
        <w:t xml:space="preserve"> to which this application is submitted if the same application for funding made to other European Commission departments or European Union institutions has been approved by them after the submission of this grant application.</w:t>
      </w:r>
    </w:p>
    <w:p w:rsidR="00F70484" w:rsidRDefault="00F70484" w:rsidP="00F70484">
      <w:pPr>
        <w:spacing w:after="200" w:line="276" w:lineRule="auto"/>
        <w:rPr>
          <w:rFonts w:cs="Arial"/>
        </w:rPr>
      </w:pPr>
      <w:r>
        <w:rPr>
          <w:rFonts w:cs="Arial"/>
        </w:rPr>
        <w:br w:type="page"/>
      </w:r>
    </w:p>
    <w:p w:rsidR="00F70484" w:rsidRPr="001D7C31" w:rsidRDefault="00F70484" w:rsidP="00F70484">
      <w:pPr>
        <w:spacing w:before="120" w:after="120" w:line="240" w:lineRule="auto"/>
        <w:jc w:val="both"/>
        <w:rPr>
          <w:rFonts w:cs="Arial"/>
        </w:rPr>
      </w:pPr>
      <w:r w:rsidRPr="001D7C31">
        <w:rPr>
          <w:rFonts w:cs="Arial"/>
        </w:rPr>
        <w:lastRenderedPageBreak/>
        <w:t>The applicant acknowledges that according to Article 131 (5)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F70484" w:rsidRPr="001D7C31" w:rsidRDefault="00F70484" w:rsidP="00F70484">
      <w:pPr>
        <w:spacing w:line="240" w:lineRule="auto"/>
        <w:rPr>
          <w:rFonts w:cs="Arial"/>
        </w:rPr>
      </w:pPr>
    </w:p>
    <w:p w:rsidR="00F70484" w:rsidRDefault="00F70484" w:rsidP="00F70484">
      <w:pPr>
        <w:spacing w:line="240" w:lineRule="auto"/>
        <w:rPr>
          <w:rFonts w:cs="Arial"/>
        </w:rPr>
      </w:pPr>
      <w:r w:rsidRPr="001D7C31">
        <w:rPr>
          <w:rFonts w:cs="Arial"/>
        </w:rPr>
        <w:t>Signed on behalf of the applicant</w:t>
      </w:r>
    </w:p>
    <w:p w:rsidR="00F70484" w:rsidRPr="001D7C31" w:rsidRDefault="00F70484" w:rsidP="00F70484">
      <w:pPr>
        <w:spacing w:line="240" w:lineRule="auto"/>
        <w:rPr>
          <w:rFonts w:cs="Arial"/>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F70484" w:rsidRPr="001D7C31" w:rsidTr="00D227D4">
        <w:trPr>
          <w:trHeight w:hRule="exact" w:val="711"/>
        </w:trPr>
        <w:tc>
          <w:tcPr>
            <w:tcW w:w="3119" w:type="dxa"/>
            <w:tcBorders>
              <w:top w:val="single" w:sz="6" w:space="0" w:color="auto"/>
              <w:left w:val="single" w:sz="6" w:space="0" w:color="auto"/>
              <w:bottom w:val="single" w:sz="6" w:space="0" w:color="auto"/>
              <w:right w:val="single" w:sz="6" w:space="0" w:color="auto"/>
            </w:tcBorders>
            <w:vAlign w:val="center"/>
            <w:hideMark/>
          </w:tcPr>
          <w:p w:rsidR="00F70484" w:rsidRPr="001D7C31" w:rsidRDefault="00F70484" w:rsidP="00D227D4">
            <w:pPr>
              <w:spacing w:line="240" w:lineRule="auto"/>
              <w:rPr>
                <w:rFonts w:cs="Arial"/>
                <w:b/>
              </w:rPr>
            </w:pPr>
            <w:r w:rsidRPr="001D7C31">
              <w:rPr>
                <w:rFonts w:cs="Arial"/>
                <w:b/>
              </w:rPr>
              <w:t>Name (block capitals)</w:t>
            </w:r>
          </w:p>
        </w:tc>
        <w:tc>
          <w:tcPr>
            <w:tcW w:w="6061" w:type="dxa"/>
            <w:tcBorders>
              <w:top w:val="single" w:sz="6" w:space="0" w:color="auto"/>
              <w:left w:val="single" w:sz="6" w:space="0" w:color="auto"/>
              <w:bottom w:val="single" w:sz="6" w:space="0" w:color="auto"/>
              <w:right w:val="single" w:sz="6" w:space="0" w:color="auto"/>
            </w:tcBorders>
            <w:vAlign w:val="center"/>
            <w:hideMark/>
          </w:tcPr>
          <w:p w:rsidR="00F70484" w:rsidRPr="001D7C31" w:rsidRDefault="00F70484" w:rsidP="00D227D4">
            <w:pPr>
              <w:spacing w:line="240" w:lineRule="auto"/>
              <w:rPr>
                <w:rFonts w:cs="Arial"/>
              </w:rPr>
            </w:pPr>
          </w:p>
        </w:tc>
      </w:tr>
      <w:tr w:rsidR="00F70484" w:rsidRPr="001D7C31" w:rsidTr="00D227D4">
        <w:trPr>
          <w:trHeight w:hRule="exact" w:val="707"/>
        </w:trPr>
        <w:tc>
          <w:tcPr>
            <w:tcW w:w="3119" w:type="dxa"/>
            <w:tcBorders>
              <w:top w:val="single" w:sz="6" w:space="0" w:color="auto"/>
              <w:left w:val="single" w:sz="6" w:space="0" w:color="auto"/>
              <w:bottom w:val="single" w:sz="6" w:space="0" w:color="auto"/>
              <w:right w:val="single" w:sz="6" w:space="0" w:color="auto"/>
            </w:tcBorders>
            <w:vAlign w:val="center"/>
            <w:hideMark/>
          </w:tcPr>
          <w:p w:rsidR="00F70484" w:rsidRPr="001D7C31" w:rsidRDefault="00F70484" w:rsidP="00D227D4">
            <w:pPr>
              <w:spacing w:line="240" w:lineRule="auto"/>
              <w:rPr>
                <w:rFonts w:cs="Arial"/>
                <w:b/>
              </w:rPr>
            </w:pPr>
            <w:r w:rsidRPr="001D7C31">
              <w:rPr>
                <w:rFonts w:cs="Arial"/>
                <w:b/>
              </w:rPr>
              <w:t>Position in the organisation</w:t>
            </w:r>
          </w:p>
        </w:tc>
        <w:tc>
          <w:tcPr>
            <w:tcW w:w="6061" w:type="dxa"/>
            <w:tcBorders>
              <w:top w:val="single" w:sz="6" w:space="0" w:color="auto"/>
              <w:left w:val="single" w:sz="6" w:space="0" w:color="auto"/>
              <w:bottom w:val="single" w:sz="6" w:space="0" w:color="auto"/>
              <w:right w:val="single" w:sz="6" w:space="0" w:color="auto"/>
            </w:tcBorders>
            <w:vAlign w:val="center"/>
            <w:hideMark/>
          </w:tcPr>
          <w:p w:rsidR="00F70484" w:rsidRPr="001D7C31" w:rsidRDefault="00F70484" w:rsidP="00D227D4">
            <w:pPr>
              <w:spacing w:line="240" w:lineRule="auto"/>
              <w:rPr>
                <w:rFonts w:cs="Arial"/>
              </w:rPr>
            </w:pPr>
          </w:p>
        </w:tc>
      </w:tr>
    </w:tbl>
    <w:p w:rsidR="00F70484" w:rsidRDefault="00F70484" w:rsidP="00F70484">
      <w:pPr>
        <w:spacing w:line="240" w:lineRule="auto"/>
        <w:rPr>
          <w:rFonts w:cs="Arial"/>
          <w:b/>
        </w:rPr>
      </w:pPr>
    </w:p>
    <w:p w:rsidR="00F70484" w:rsidRPr="001D7C31" w:rsidRDefault="00F70484" w:rsidP="00F70484">
      <w:pPr>
        <w:spacing w:line="240" w:lineRule="auto"/>
        <w:rPr>
          <w:rFonts w:cs="Arial"/>
          <w: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F70484" w:rsidRPr="001D7C31" w:rsidTr="00D227D4">
        <w:trPr>
          <w:cantSplit/>
          <w:trHeight w:hRule="exact" w:val="901"/>
        </w:trPr>
        <w:tc>
          <w:tcPr>
            <w:tcW w:w="1080" w:type="dxa"/>
            <w:tcBorders>
              <w:top w:val="nil"/>
              <w:left w:val="nil"/>
              <w:bottom w:val="nil"/>
              <w:right w:val="nil"/>
            </w:tcBorders>
            <w:hideMark/>
          </w:tcPr>
          <w:p w:rsidR="00F70484" w:rsidRPr="001D7C31" w:rsidRDefault="00F70484" w:rsidP="00D227D4">
            <w:pPr>
              <w:spacing w:line="240" w:lineRule="auto"/>
              <w:rPr>
                <w:rFonts w:cs="Arial"/>
                <w:b/>
              </w:rPr>
            </w:pPr>
            <w:r w:rsidRPr="001D7C31">
              <w:rPr>
                <w:rFonts w:cs="Arial"/>
                <w:b/>
              </w:rPr>
              <w:t>Signed:</w:t>
            </w:r>
          </w:p>
        </w:tc>
        <w:tc>
          <w:tcPr>
            <w:tcW w:w="4680" w:type="dxa"/>
            <w:tcBorders>
              <w:top w:val="single" w:sz="6" w:space="0" w:color="auto"/>
              <w:left w:val="single" w:sz="6" w:space="0" w:color="auto"/>
              <w:bottom w:val="single" w:sz="6" w:space="0" w:color="auto"/>
              <w:right w:val="single" w:sz="6" w:space="0" w:color="auto"/>
            </w:tcBorders>
            <w:vAlign w:val="center"/>
          </w:tcPr>
          <w:p w:rsidR="00F70484" w:rsidRPr="001D7C31" w:rsidRDefault="00F70484" w:rsidP="00D227D4">
            <w:pPr>
              <w:spacing w:line="240" w:lineRule="auto"/>
              <w:rPr>
                <w:rFonts w:cs="Arial"/>
                <w:b/>
              </w:rPr>
            </w:pPr>
          </w:p>
        </w:tc>
        <w:tc>
          <w:tcPr>
            <w:tcW w:w="993" w:type="dxa"/>
            <w:tcBorders>
              <w:top w:val="nil"/>
              <w:left w:val="nil"/>
              <w:bottom w:val="nil"/>
              <w:right w:val="nil"/>
            </w:tcBorders>
            <w:hideMark/>
          </w:tcPr>
          <w:p w:rsidR="00F70484" w:rsidRPr="001D7C31" w:rsidRDefault="00F70484" w:rsidP="00D227D4">
            <w:pPr>
              <w:spacing w:line="240" w:lineRule="auto"/>
              <w:rPr>
                <w:rFonts w:cs="Arial"/>
                <w:b/>
              </w:rPr>
            </w:pPr>
            <w:r w:rsidRPr="001D7C31">
              <w:rPr>
                <w:rFonts w:cs="Arial"/>
                <w:b/>
              </w:rPr>
              <w:t>Date:</w:t>
            </w:r>
          </w:p>
        </w:tc>
        <w:tc>
          <w:tcPr>
            <w:tcW w:w="2427" w:type="dxa"/>
            <w:tcBorders>
              <w:top w:val="single" w:sz="6" w:space="0" w:color="auto"/>
              <w:left w:val="single" w:sz="6" w:space="0" w:color="auto"/>
              <w:bottom w:val="single" w:sz="6" w:space="0" w:color="auto"/>
              <w:right w:val="single" w:sz="6" w:space="0" w:color="auto"/>
            </w:tcBorders>
            <w:vAlign w:val="center"/>
          </w:tcPr>
          <w:p w:rsidR="00F70484" w:rsidRPr="001D7C31" w:rsidRDefault="00F70484" w:rsidP="00D227D4">
            <w:pPr>
              <w:spacing w:line="240" w:lineRule="auto"/>
              <w:rPr>
                <w:rFonts w:cs="Arial"/>
                <w:b/>
              </w:rPr>
            </w:pPr>
          </w:p>
        </w:tc>
      </w:tr>
    </w:tbl>
    <w:p w:rsidR="00F70484" w:rsidRPr="001D7C31" w:rsidRDefault="00F70484" w:rsidP="00F70484">
      <w:pPr>
        <w:spacing w:after="200" w:line="276" w:lineRule="auto"/>
        <w:rPr>
          <w:rFonts w:cs="Arial"/>
          <w:b/>
        </w:rPr>
      </w:pPr>
    </w:p>
    <w:p w:rsidR="0012096C" w:rsidRPr="00295556" w:rsidRDefault="0012096C" w:rsidP="00295556">
      <w:pPr>
        <w:spacing w:line="240" w:lineRule="auto"/>
        <w:rPr>
          <w:rFonts w:cs="Arial"/>
        </w:rPr>
      </w:pPr>
      <w:bookmarkStart w:id="0" w:name="_GoBack"/>
      <w:bookmarkEnd w:id="0"/>
    </w:p>
    <w:sectPr w:rsidR="0012096C" w:rsidRPr="00295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C4"/>
    <w:multiLevelType w:val="multilevel"/>
    <w:tmpl w:val="F95E2B7A"/>
    <w:styleLink w:val="BEST"/>
    <w:lvl w:ilvl="0">
      <w:start w:val="1"/>
      <w:numFmt w:val="decimal"/>
      <w:lvlText w:val="%1."/>
      <w:lvlJc w:val="left"/>
      <w:pPr>
        <w:ind w:left="360" w:hanging="360"/>
      </w:pPr>
      <w:rPr>
        <w:rFonts w:asciiTheme="majorHAnsi" w:hAnsiTheme="majorHAnsi" w:hint="default"/>
        <w:color w:val="1F497D" w:themeColor="text2"/>
        <w:sz w:val="28"/>
      </w:rPr>
    </w:lvl>
    <w:lvl w:ilvl="1">
      <w:start w:val="1"/>
      <w:numFmt w:val="decimal"/>
      <w:lvlText w:val="%1.%2."/>
      <w:lvlJc w:val="left"/>
      <w:pPr>
        <w:ind w:left="1080" w:hanging="683"/>
      </w:pPr>
      <w:rPr>
        <w:rFonts w:asciiTheme="majorHAnsi" w:hAnsiTheme="majorHAnsi" w:hint="default"/>
        <w:color w:val="4F81BD" w:themeColor="accent1"/>
        <w:sz w:val="26"/>
      </w:rPr>
    </w:lvl>
    <w:lvl w:ilvl="2">
      <w:start w:val="1"/>
      <w:numFmt w:val="decimal"/>
      <w:lvlText w:val="%1.%2.%3"/>
      <w:lvlJc w:val="right"/>
      <w:pPr>
        <w:tabs>
          <w:tab w:val="num" w:pos="1701"/>
        </w:tabs>
        <w:ind w:left="1588" w:firstLine="113"/>
      </w:pPr>
      <w:rPr>
        <w:rFonts w:asciiTheme="majorHAnsi" w:hAnsiTheme="majorHAnsi" w:hint="default"/>
        <w:color w:val="4F81BD" w:themeColor="accent1"/>
        <w:sz w:val="22"/>
      </w:rPr>
    </w:lvl>
    <w:lvl w:ilvl="3">
      <w:start w:val="1"/>
      <w:numFmt w:val="none"/>
      <w:lvlText w:val=""/>
      <w:lvlJc w:val="left"/>
      <w:pPr>
        <w:ind w:left="851" w:firstLine="850"/>
      </w:pPr>
      <w:rPr>
        <w:rFonts w:hint="default"/>
      </w:rPr>
    </w:lvl>
    <w:lvl w:ilvl="4">
      <w:start w:val="1"/>
      <w:numFmt w:val="none"/>
      <w:lvlText w:val=""/>
      <w:lvlJc w:val="left"/>
      <w:pPr>
        <w:ind w:left="5940" w:hanging="360"/>
      </w:pPr>
      <w:rPr>
        <w:rFonts w:hint="default"/>
      </w:rPr>
    </w:lvl>
    <w:lvl w:ilvl="5">
      <w:start w:val="1"/>
      <w:numFmt w:val="none"/>
      <w:lvlText w:val=""/>
      <w:lvlJc w:val="right"/>
      <w:pPr>
        <w:ind w:left="6660" w:hanging="180"/>
      </w:pPr>
      <w:rPr>
        <w:rFonts w:hint="default"/>
      </w:rPr>
    </w:lvl>
    <w:lvl w:ilvl="6">
      <w:start w:val="1"/>
      <w:numFmt w:val="none"/>
      <w:lvlText w:val=""/>
      <w:lvlJc w:val="left"/>
      <w:pPr>
        <w:ind w:left="7380" w:hanging="360"/>
      </w:pPr>
      <w:rPr>
        <w:rFonts w:hint="default"/>
      </w:rPr>
    </w:lvl>
    <w:lvl w:ilvl="7">
      <w:start w:val="1"/>
      <w:numFmt w:val="none"/>
      <w:lvlText w:val=""/>
      <w:lvlJc w:val="left"/>
      <w:pPr>
        <w:ind w:left="8100" w:hanging="360"/>
      </w:pPr>
      <w:rPr>
        <w:rFonts w:hint="default"/>
      </w:rPr>
    </w:lvl>
    <w:lvl w:ilvl="8">
      <w:start w:val="1"/>
      <w:numFmt w:val="none"/>
      <w:lvlText w:val=""/>
      <w:lvlJc w:val="right"/>
      <w:pPr>
        <w:ind w:left="8820" w:hanging="180"/>
      </w:pPr>
      <w:rPr>
        <w:rFonts w:hint="default"/>
      </w:rPr>
    </w:lvl>
  </w:abstractNum>
  <w:abstractNum w:abstractNumId="1">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84"/>
    <w:rsid w:val="0012096C"/>
    <w:rsid w:val="00295556"/>
    <w:rsid w:val="0045736F"/>
    <w:rsid w:val="006F5ECA"/>
    <w:rsid w:val="00B46ABB"/>
    <w:rsid w:val="00F7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84"/>
    <w:pPr>
      <w:spacing w:after="0" w:line="10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ST">
    <w:name w:val="BEST"/>
    <w:uiPriority w:val="99"/>
    <w:rsid w:val="006F5ECA"/>
    <w:pPr>
      <w:numPr>
        <w:numId w:val="1"/>
      </w:numPr>
    </w:pPr>
  </w:style>
  <w:style w:type="character" w:styleId="Hyperlink">
    <w:name w:val="Hyperlink"/>
    <w:uiPriority w:val="99"/>
    <w:rsid w:val="00F70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84"/>
    <w:pPr>
      <w:spacing w:after="0" w:line="10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ST">
    <w:name w:val="BEST"/>
    <w:uiPriority w:val="99"/>
    <w:rsid w:val="006F5ECA"/>
    <w:pPr>
      <w:numPr>
        <w:numId w:val="1"/>
      </w:numPr>
    </w:pPr>
  </w:style>
  <w:style w:type="character" w:styleId="Hyperlink">
    <w:name w:val="Hyperlink"/>
    <w:uiPriority w:val="99"/>
    <w:rsid w:val="00F70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nodeNumber=2.3.4" TargetMode="External"/><Relationship Id="rId3" Type="http://schemas.microsoft.com/office/2007/relationships/stylesWithEffects" Target="stylesWithEffects.xml"/><Relationship Id="rId7" Type="http://schemas.openxmlformats.org/officeDocument/2006/relationships/hyperlink" Target="http://ec.europa.eu/europeaid/prag/document.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uropeaid/prag/document.do?nodeNumber=2.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IUCN\MitchellD</dc:creator>
  <cp:lastModifiedBy>IUCN\MitchellD</cp:lastModifiedBy>
  <cp:revision>1</cp:revision>
  <dcterms:created xsi:type="dcterms:W3CDTF">2016-04-22T11:33:00Z</dcterms:created>
  <dcterms:modified xsi:type="dcterms:W3CDTF">2016-04-22T11:33:00Z</dcterms:modified>
</cp:coreProperties>
</file>